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441—74.11</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74.11(1)</w:t>
      </w: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Payment for nonemergency use of a hospital emergency department shall be subject to an $8 copayment by the member, which will be subtracted from the IHAWP payment otherwise due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74.11(2)</w:t>
      </w:r>
      <w:r>
        <w:rPr>
          <w:rFonts w:ascii="Times New Roman" w:hAnsi="Times New Roman"/>
          <w:b w:val="false"/>
          <w:i w:val="false"/>
          <w:color w:val="000000"/>
          <w:sz w:val="22"/>
        </w:rPr>
        <w:t> </w:t>
      </w:r>
      <w:r>
        <w:rPr>
          <w:rFonts w:ascii="Times New Roman" w:hAnsi="Times New Roman"/>
          <w:b w:val="false"/>
          <w:i/>
          <w:color w:val="000000"/>
          <w:sz w:val="22"/>
        </w:rPr>
        <w:t xml:space="preserve">Monthly contributions. </w:t>
      </w:r>
      <w:r>
        <w:rPr>
          <w:rFonts w:ascii="Times New Roman" w:hAnsi="Times New Roman"/>
          <w:b w:val="false"/>
          <w:i w:val="false"/>
          <w:color w:val="000000"/>
          <w:sz w:val="22"/>
        </w:rPr>
        <w:t>Members enrolled in the IHAWP with household income at or above 50 percent of the FPL are required to pay monthly contributions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Monthly contribution amount. </w:t>
      </w:r>
      <w:r>
        <w:rPr>
          <w:rFonts w:ascii="Times New Roman" w:hAnsi="Times New Roman"/>
          <w:b w:val="false"/>
          <w:i w:val="false"/>
          <w:color w:val="000000"/>
          <w:sz w:val="22"/>
        </w:rPr>
        <w:t xml:space="preserve">The monthly contribution amount for each member is based on the countable income of the member’s household, determined pursuant to </w:t>
      </w:r>
      <w:hyperlink r:id="rId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as a percentage of the FPL for the household. Monthly contribution amounts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member with household income between 50 and 100 percent of the FPL,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member with household income above 100 percent of the FPL,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Waiver during the first year of enrollment. </w:t>
      </w:r>
      <w:r>
        <w:rPr>
          <w:rFonts w:ascii="Times New Roman" w:hAnsi="Times New Roman"/>
          <w:b w:val="false"/>
          <w:i w:val="false"/>
          <w:color w:val="000000"/>
          <w:sz w:val="22"/>
        </w:rPr>
        <w:t>The monthly contribution will be waived during the member’s first 12 months of continuous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Monthly contribution exemptions. </w:t>
      </w:r>
      <w:r>
        <w:rPr>
          <w:rFonts w:ascii="Times New Roman" w:hAnsi="Times New Roman"/>
          <w:b w:val="false"/>
          <w:i w:val="false"/>
          <w:color w:val="000000"/>
          <w:sz w:val="22"/>
        </w:rPr>
        <w:t>A member shall be exempt from monthly contribution payments when any of the following circumstances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completed healthy behaviors pursuant to subrule </w:t>
      </w:r>
      <w:hyperlink r:id="rId5">
        <w:r>
          <w:rPr>
            <w:rStyle w:val="Hyperlink"/>
            <w:rFonts w:ascii="Times New Roman" w:hAnsi="Times New Roman"/>
            <w:b w:val="false"/>
            <w:i w:val="false"/>
            <w:color w:val="000000"/>
            <w:sz w:val="22"/>
          </w:rPr>
          <w:t>74.11(4)</w:t>
        </w:r>
      </w:hyperlink>
      <w:r>
        <w:rPr>
          <w:rFonts w:ascii="Times New Roman" w:hAnsi="Times New Roman"/>
          <w:b w:val="false"/>
          <w:i w:val="false"/>
          <w:color w:val="000000"/>
          <w:sz w:val="22"/>
        </w:rPr>
        <w:t xml:space="preserve"> in the previous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determined by the department to be a medically exempt individual pursuant to subrule </w:t>
      </w:r>
      <w:hyperlink r:id="rId6">
        <w:r>
          <w:rPr>
            <w:rStyle w:val="Hyperlink"/>
            <w:rFonts w:ascii="Times New Roman" w:hAnsi="Times New Roman"/>
            <w:b w:val="false"/>
            <w:i w:val="false"/>
            <w:color w:val="000000"/>
            <w:sz w:val="22"/>
          </w:rPr>
          <w:t>74.12(2)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access to cost-effective, employer-sponsored coverage and is enrolled in the health insurance premium payment program pursuant to </w:t>
      </w:r>
      <w:hyperlink r:id="rId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exempt from premiums pursuant to </w:t>
      </w:r>
      <w:r>
        <w:rPr>
          <w:rFonts w:ascii="Times New Roman" w:hAnsi="Times New Roman"/>
          <w:b w:val="false"/>
          <w:i w:val="false"/>
          <w:color w:val="000000"/>
          <w:sz w:val="22"/>
        </w:rPr>
        <w:t>42 CFR 447.56(a)</w:t>
      </w:r>
      <w:r>
        <w:rPr>
          <w:rFonts w:ascii="Times New Roman" w:hAnsi="Times New Roman"/>
          <w:b w:val="false"/>
          <w:i w:val="false"/>
          <w:color w:val="000000"/>
          <w:sz w:val="22"/>
        </w:rPr>
        <w:t>(1)(x) as amended to July 1, 2026, as an Indian who is eligible to receive or has received an item or service furnished by an Indian health care provider or through referral under contract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claims a hardship exemption indicating that payment of the monthly contribution will be a financial hardship. The member may claim a hardship exemption by telephoning Iowa Medicaid member services, by checking the hardship box on the billing statement (for the month of the billing statement), or by submitting a written statement to the address designated by the department. The member’s hardship exemption must be received or postmarked within five working days after the monthly contribution due date. If the hardship exemption request is not made in a timely manner, the exemption shall not be granted. Members must complete the process in every month for which they wish to claim financial hardship. There is no limit to the number of hardship exemptions for which a member may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Billing and payment. </w:t>
      </w:r>
      <w:r>
        <w:rPr>
          <w:rFonts w:ascii="Times New Roman" w:hAnsi="Times New Roman"/>
          <w:b w:val="false"/>
          <w:i w:val="false"/>
          <w:color w:val="000000"/>
          <w:sz w:val="22"/>
        </w:rPr>
        <w:t>An Iowa Medicaid billing statement form will be used for billing and collection of the monthly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 of payment. Members shall submit contribution payments to the address specified by the department. Members can also submit contributions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Due date. When the department notifies a member of the amount of the monthly contribution, the member shall pay any monthly contributions due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monthly contribution is due on the fifteenth day of the month in which the statement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fifteenth day of the month falls on a weekend or state or federal holiday, payment is due on the first working day following the weekend or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Monthly contribution payments must be received or postmarked by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Application of payment. The department will apply monthly contribution payments received to the oldest unpaid month in the current enrollment period. When monthly contributions for all months in the enrollment period have been paid, the department will hold any excess and apply it to any months for which eligibility is subsequently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pay monthly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IHAWP member with household income between 50 and 100 percent of the FPL who fails to pay the assessed monthly contribution and who does not qualify for a monthly contribution exemption pursuant to subrule </w:t>
      </w:r>
      <w:hyperlink r:id="rId8">
        <w:r>
          <w:rPr>
            <w:rStyle w:val="Hyperlink"/>
            <w:rFonts w:ascii="Times New Roman" w:hAnsi="Times New Roman"/>
            <w:b w:val="false"/>
            <w:i w:val="false"/>
            <w:color w:val="000000"/>
            <w:sz w:val="22"/>
          </w:rPr>
          <w:t>74.11(2)</w:t>
        </w:r>
      </w:hyperlink>
      <w:r>
        <w:rPr>
          <w:rFonts w:ascii="Times New Roman" w:hAnsi="Times New Roman"/>
          <w:b w:val="false"/>
          <w:i w:val="false"/>
          <w:color w:val="000000"/>
          <w:sz w:val="22"/>
        </w:rPr>
        <w:t xml:space="preserve"> shall owe the monthly contribution to the department as an unpaid premium subject to recovery in accordance with </w:t>
      </w:r>
      <w:hyperlink r:id="rId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A member shall have no less than 90 days from the due date to pay any unpaid monthly contribution before the unpaid amount shall be subject to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IHAWP member with household income above 100 percent of the FPL who fails to pay the assessed monthly contribution and who does not qualify for a monthly contribution exemption pursuant to subrule </w:t>
      </w:r>
      <w:hyperlink r:id="rId10">
        <w:r>
          <w:rPr>
            <w:rStyle w:val="Hyperlink"/>
            <w:rFonts w:ascii="Times New Roman" w:hAnsi="Times New Roman"/>
            <w:b w:val="false"/>
            <w:i w:val="false"/>
            <w:color w:val="000000"/>
            <w:sz w:val="22"/>
          </w:rPr>
          <w:t>74.11(2)</w:t>
        </w:r>
      </w:hyperlink>
      <w:r>
        <w:rPr>
          <w:rFonts w:ascii="Times New Roman" w:hAnsi="Times New Roman"/>
          <w:b w:val="false"/>
          <w:i w:val="false"/>
          <w:color w:val="000000"/>
          <w:sz w:val="22"/>
        </w:rPr>
        <w:t xml:space="preserve"> will have the member’s eligibility terminated. In addition, the member shall owe the monthly contribution to the department as an unpaid premium subject to recovery in accordance with </w:t>
      </w:r>
      <w:hyperlink r:id="rId1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A member shall have no less than 90 days from the due date to pay any unpaid monthly contribution before the unpaid amount shall be subject to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shall have no less than 90 days from the due date to pay any unpaid monthly contribution before eligibility will be terminated or the unpaid amount will be subject to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whose eligibility is terminated due to nonpayment of monthly contributions may reenroll for Medicaid benefits pursuant to </w:t>
      </w:r>
      <w:hyperlink r:id="rId12">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Unpaid premiums will not be considered a collectible debt by the state if, at the member’s next annual renewal date, the member does not apply for renewed eligibility, and the member has no claims for services delivered after the month of the last premium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Refund of monthly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Monthly contributions paid may be refunded if the member qualified for a monthly contribution exemption pursuant to paragraph </w:t>
      </w:r>
      <w:hyperlink r:id="rId13">
        <w:r>
          <w:rPr>
            <w:rStyle w:val="Hyperlink"/>
            <w:rFonts w:ascii="Times New Roman" w:hAnsi="Times New Roman"/>
            <w:b w:val="false"/>
            <w:i w:val="false"/>
            <w:color w:val="000000"/>
            <w:sz w:val="22"/>
          </w:rPr>
          <w:t>74.11(2)</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when a member’s IHAWP coverage is terminated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no longer eligible for coverage in IHAWP;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any refund will be offset by any outstanding monthly contributions 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refund will be paid within two calendar months from the date of termination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74.11(3)</w:t>
      </w:r>
      <w:r>
        <w:rPr>
          <w:rFonts w:ascii="Times New Roman" w:hAnsi="Times New Roman"/>
          <w:b w:val="false"/>
          <w:i w:val="false"/>
          <w:color w:val="000000"/>
          <w:sz w:val="22"/>
        </w:rPr>
        <w:t> </w:t>
      </w:r>
      <w:r>
        <w:rPr>
          <w:rFonts w:ascii="Times New Roman" w:hAnsi="Times New Roman"/>
          <w:b w:val="false"/>
          <w:i/>
          <w:color w:val="000000"/>
          <w:sz w:val="22"/>
        </w:rPr>
        <w:t xml:space="preserve">Aggregate annual limits on copayments and monthly contributions. </w:t>
      </w:r>
      <w:r>
        <w:rPr>
          <w:rFonts w:ascii="Times New Roman" w:hAnsi="Times New Roman"/>
          <w:b w:val="false"/>
          <w:i w:val="false"/>
          <w:color w:val="000000"/>
          <w:sz w:val="22"/>
        </w:rPr>
        <w:t xml:space="preserve">The total aggregate annual amount of copayments and monthly contributions for an individual will not exceed 5 percent of the household’s countable annual income determined pursuant to </w:t>
      </w:r>
      <w:hyperlink r:id="rId1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74.11(4)</w:t>
      </w:r>
      <w:r>
        <w:rPr>
          <w:rFonts w:ascii="Times New Roman" w:hAnsi="Times New Roman"/>
          <w:b w:val="false"/>
          <w:i w:val="false"/>
          <w:color w:val="000000"/>
          <w:sz w:val="22"/>
        </w:rPr>
        <w:t> </w:t>
      </w:r>
      <w:r>
        <w:rPr>
          <w:rFonts w:ascii="Times New Roman" w:hAnsi="Times New Roman"/>
          <w:b w:val="false"/>
          <w:i/>
          <w:color w:val="000000"/>
          <w:sz w:val="22"/>
        </w:rPr>
        <w:t xml:space="preserve">Healthy behaviors. </w:t>
      </w:r>
      <w:r>
        <w:rPr>
          <w:rFonts w:ascii="Times New Roman" w:hAnsi="Times New Roman"/>
          <w:b w:val="false"/>
          <w:i w:val="false"/>
          <w:color w:val="000000"/>
          <w:sz w:val="22"/>
        </w:rPr>
        <w:t>An IHAWP member who completes a wellness examination and health risk assessment during any enrollment year will have monthly contributions waived in the subsequent enrollment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healthy behaviors, a wellness examination may be related to either physical health or oral health. Physical examinations must be performed by a medical provider and must assess a member’s overall physical health consistent with standard clinical guidelines for preventive physical examinations and as defined by the department. Oral examinations must be performed by a dental provider consistent with standard oral health guidelines for preventive dental examinations and as outlined in </w:t>
      </w:r>
      <w:hyperlink r:id="rId15">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health risk assessment is an assessment offered by a managed care plan through which the member is receiving IHAWP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5.pdf" Type="http://schemas.openxmlformats.org/officeDocument/2006/relationships/hyperlink" Id="rId4"/>
    <Relationship TargetMode="External" Target="https://www.legis.iowa.gov/docs/iac/rule/441.74.11.pdf" Type="http://schemas.openxmlformats.org/officeDocument/2006/relationships/hyperlink" Id="rId5"/>
    <Relationship TargetMode="External" Target="https://www.legis.iowa.gov/docs/iac/rule/441.74.12.pdf" Type="http://schemas.openxmlformats.org/officeDocument/2006/relationships/hyperlink" Id="rId6"/>
    <Relationship TargetMode="External" Target="https://www.legis.iowa.gov/docs/iac/chapter/441.75.pdf" Type="http://schemas.openxmlformats.org/officeDocument/2006/relationships/hyperlink" Id="rId7"/>
    <Relationship TargetMode="External" Target="https://www.legis.iowa.gov/docs/iac/rule/441.74.11.pdf" Type="http://schemas.openxmlformats.org/officeDocument/2006/relationships/hyperlink" Id="rId8"/>
    <Relationship TargetMode="External" Target="https://www.legis.iowa.gov/docs/iac/chapter/441.75.pdf" Type="http://schemas.openxmlformats.org/officeDocument/2006/relationships/hyperlink" Id="rId9"/>
    <Relationship TargetMode="External" Target="https://www.legis.iowa.gov/docs/iac/rule/441.74.11.pdf" Type="http://schemas.openxmlformats.org/officeDocument/2006/relationships/hyperlink" Id="rId10"/>
    <Relationship TargetMode="External" Target="https://www.legis.iowa.gov/docs/iac/chapter/441.75.pdf" Type="http://schemas.openxmlformats.org/officeDocument/2006/relationships/hyperlink" Id="rId11"/>
    <Relationship TargetMode="External" Target="https://www.legis.iowa.gov/docs/iac/chapter/441.76.pdf" Type="http://schemas.openxmlformats.org/officeDocument/2006/relationships/hyperlink" Id="rId12"/>
    <Relationship TargetMode="External" Target="https://www.legis.iowa.gov/docs/iac/rule/441.74.11.pdf" Type="http://schemas.openxmlformats.org/officeDocument/2006/relationships/hyperlink" Id="rId13"/>
    <Relationship TargetMode="External" Target="https://www.legis.iowa.gov/docs/iac/chapter/441.75.pdf" Type="http://schemas.openxmlformats.org/officeDocument/2006/relationships/hyperlink" Id="rId14"/>
    <Relationship TargetMode="External" Target="https://www.legis.iowa.gov/docs/iac/chapter/441.73.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