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441—74.1</w:t>
      </w:r>
      <w:r>
        <w:rPr>
          <w:rFonts w:ascii="Times New Roman" w:hAnsi="Times New Roman"/>
          <w:b/>
          <w:i w:val="false"/>
          <w:color w:val="000000"/>
          <w:sz w:val="22"/>
        </w:rPr>
        <w:t xml:space="preserve">(249A,249N)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in addition to the definitions in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“Caretaker”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“Countable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“modified adjusted gross income” (MAGI) or “household income,” as applicable, determined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(e)(14)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“Enrollment period”</w:t>
      </w:r>
      <w:r>
        <w:rPr>
          <w:rFonts w:ascii="Times New Roman" w:hAnsi="Times New Roman"/>
          <w:b w:val="false"/>
          <w:i w:val="false"/>
          <w:color w:val="000000"/>
          <w:sz w:val="22"/>
        </w:rPr>
        <w:t> </w:t>
      </w:r>
      <w:r>
        <w:rPr>
          <w:rFonts w:ascii="Times New Roman" w:hAnsi="Times New Roman"/>
          <w:b w:val="false"/>
          <w:i w:val="false"/>
          <w:color w:val="000000"/>
          <w:sz w:val="22"/>
        </w:rPr>
        <w:t>means the period of time for which Iowa health and wellness plan eligibility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“Essential health benefits”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essential health benefits defined at </w:t>
      </w:r>
      <w:r>
        <w:rPr>
          <w:rFonts w:ascii="Times New Roman" w:hAnsi="Times New Roman"/>
          <w:b w:val="false"/>
          <w:i w:val="false"/>
          <w:color w:val="000000"/>
          <w:sz w:val="22"/>
        </w:rPr>
        <w:t>42 U.S.C. §18022</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dental wellness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managed care dental benefit program set forth in </w:t>
      </w:r>
      <w:hyperlink r:id="rId6">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health and wellness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“IHAWP”</w:t>
      </w:r>
      <w:r>
        <w:rPr>
          <w:rFonts w:ascii="Times New Roman" w:hAnsi="Times New Roman"/>
          <w:b w:val="false"/>
          <w:i w:val="false"/>
          <w:color w:val="000000"/>
          <w:sz w:val="22"/>
        </w:rPr>
        <w:t> </w:t>
      </w:r>
      <w:r>
        <w:rPr>
          <w:rFonts w:ascii="Times New Roman" w:hAnsi="Times New Roman"/>
          <w:b w:val="false"/>
          <w:i w:val="false"/>
          <w:color w:val="000000"/>
          <w:sz w:val="22"/>
        </w:rPr>
        <w:t>means the medical assistance program set forth in this chapter for individuals with countable income that does not exceed 133 percent of the federal poverty level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wellness plan”</w:t>
      </w:r>
      <w:r>
        <w:rPr>
          <w:rFonts w:ascii="Times New Roman" w:hAnsi="Times New Roman"/>
          <w:b w:val="false"/>
          <w:i w:val="false"/>
          <w:color w:val="000000"/>
          <w:sz w:val="22"/>
        </w:rPr>
        <w:t> </w:t>
      </w:r>
      <w:r>
        <w:rPr>
          <w:rFonts w:ascii="Times New Roman" w:hAnsi="Times New Roman"/>
          <w:b w:val="false"/>
          <w:i w:val="false"/>
          <w:color w:val="000000"/>
          <w:sz w:val="22"/>
        </w:rPr>
        <w:t>means the benefits and services provided to IHAWP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7">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“Medicaid”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payment of all parts of the cost of the care and services made in accordance with </w:t>
      </w:r>
      <w:r>
        <w:rPr>
          <w:rFonts w:ascii="Times New Roman" w:hAnsi="Times New Roman"/>
          <w:b w:val="false"/>
          <w:i w:val="false"/>
          <w:color w:val="000000"/>
          <w:sz w:val="22"/>
        </w:rPr>
        <w:t>Title XIX of the Federal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exempt individual”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exempt from mandatory enrollment in an alternative benefit plan pursuant to </w:t>
      </w:r>
      <w:r>
        <w:rPr>
          <w:rFonts w:ascii="Times New Roman" w:hAnsi="Times New Roman"/>
          <w:b w:val="false"/>
          <w:i w:val="false"/>
          <w:color w:val="000000"/>
          <w:sz w:val="22"/>
        </w:rPr>
        <w:t>42 CFR 440.315</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“Minimum essential coverage”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health insurance defined in Section 5000A(f) of Subtitle D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“Prepaid ambulatory health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“PAHP”</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meaning set forth in </w:t>
      </w:r>
      <w:r>
        <w:rPr>
          <w:rFonts w:ascii="Times New Roman" w:hAnsi="Times New Roman"/>
          <w:b w:val="false"/>
          <w:i w:val="false"/>
          <w:color w:val="000000"/>
          <w:sz w:val="22"/>
        </w:rPr>
        <w:t>42 CFR 438.2</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employer-sponsored coverage”</w:t>
      </w:r>
      <w:r>
        <w:rPr>
          <w:rFonts w:ascii="Times New Roman" w:hAnsi="Times New Roman"/>
          <w:b w:val="false"/>
          <w:i w:val="false"/>
          <w:color w:val="000000"/>
          <w:sz w:val="22"/>
        </w:rPr>
        <w:t> </w:t>
      </w:r>
      <w:r>
        <w:rPr>
          <w:rFonts w:ascii="Times New Roman" w:hAnsi="Times New Roman"/>
          <w:b w:val="false"/>
          <w:i w:val="false"/>
          <w:color w:val="000000"/>
          <w:sz w:val="22"/>
        </w:rPr>
        <w:t xml:space="preserve">is defined </w:t>
      </w:r>
      <w:r>
        <w:rPr>
          <w:rFonts w:ascii="Times New Roman" w:hAnsi="Times New Roman"/>
          <w:b w:val="false"/>
          <w:i w:val="false"/>
          <w:color w:val="000000"/>
          <w:sz w:val="22"/>
        </w:rPr>
        <w:t>pursuant to 42 U.S.C. §1396e</w:t>
      </w:r>
      <w:r>
        <w:rPr>
          <w:rFonts w:ascii="Times New Roman" w:hAnsi="Times New Roman"/>
          <w:b w:val="false"/>
          <w:i w:val="false"/>
          <w:color w:val="000000"/>
          <w:sz w:val="22"/>
        </w:rPr>
        <w:t>1(b)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 TargetMode="External" Target="https://www.legis.iowa.gov/docs/iac/rule/441.75.1.pdf" Type="http://schemas.openxmlformats.org/officeDocument/2006/relationships/hyperlink" Id="rId5"/>
    <Relationship TargetMode="External" Target="https://www.legis.iowa.gov/docs/iac/chapter/441.73.pdf" Type="http://schemas.openxmlformats.org/officeDocument/2006/relationships/hyperlink" Id="rId6"/>
    <Relationship TargetMode="External" Target="https://www.legis.iowa.gov/docs/ico/chapter/514B.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