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441—73.8</w:t>
      </w:r>
      <w:r>
        <w:rPr>
          <w:rFonts w:ascii="Times New Roman" w:hAnsi="Times New Roman"/>
          <w:b/>
          <w:i w:val="false"/>
          <w:color w:val="000000"/>
          <w:sz w:val="22"/>
        </w:rPr>
        <w:t xml:space="preserve">(249A) </w:t>
      </w:r>
      <w:r>
        <w:rPr>
          <w:rFonts w:ascii="Times New Roman" w:hAnsi="Times New Roman"/>
          <w:b/>
          <w:i w:val="false"/>
          <w:color w:val="000000"/>
          <w:sz w:val="22"/>
        </w:rPr>
        <w:t xml:space="preserve">Access to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val="false"/>
          <w:color w:val="000000"/>
          <w:sz w:val="22"/>
        </w:rPr>
        <w:t>The MCP shall ensure enrollees have access to services as specified in the contract. The MCP shall provide available, accessible, and adequate numbers of institutional facilities, service locations, and service sites and professional, allied, and paramedical personnel for the provision of covered services, including all emergency services, on a 24-hours-a-day, seven-days-a-week basis. At a minimum, access to services shall comply with the standards described in the contract. For areas of the state where provider availability is insufficient to meet these standards, for example, in health or dental professional shortage areas and medically underserved areas, the access standards shall meet the usual and customary standards for the community. Exceptions to the requirements contained in this rule shall be justified and documented to the state on the basis of community standards. All other services not specified in this rule shall meet the usual and customary standards for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val="false"/>
          <w:color w:val="000000"/>
          <w:sz w:val="22"/>
        </w:rPr>
        <w:t xml:space="preserve">Choice of providers. An enrollee shall use the MCP’s provider network unless the MCP has authorized a referral to a nonparticipating provider for provision of a service or treatment plan or as specified for provision of emergency services set forth in rule </w:t>
      </w:r>
      <w:hyperlink r:id="rId4">
        <w:r>
          <w:rPr>
            <w:rStyle w:val="Hyperlink"/>
            <w:rFonts w:ascii="Times New Roman" w:hAnsi="Times New Roman"/>
            <w:b w:val="false"/>
            <w:i w:val="false"/>
            <w:color w:val="000000"/>
            <w:sz w:val="22"/>
          </w:rPr>
          <w:t>441—73.7</w:t>
        </w:r>
      </w:hyperlink>
      <w:r>
        <w:rPr>
          <w:rFonts w:ascii="Times New Roman" w:hAnsi="Times New Roman"/>
          <w:b w:val="false"/>
          <w:i w:val="false"/>
          <w:color w:val="000000"/>
          <w:sz w:val="22"/>
        </w:rPr>
        <w:t xml:space="preserve">(249A). In accordance with federal funding requirements, including </w:t>
      </w:r>
      <w:r>
        <w:rPr>
          <w:rFonts w:ascii="Times New Roman" w:hAnsi="Times New Roman"/>
          <w:b w:val="false"/>
          <w:i w:val="false"/>
          <w:color w:val="000000"/>
          <w:sz w:val="22"/>
        </w:rPr>
        <w:t>42 CFR 431.51(b)</w:t>
      </w:r>
      <w:r>
        <w:rPr>
          <w:rFonts w:ascii="Times New Roman" w:hAnsi="Times New Roman"/>
          <w:b w:val="false"/>
          <w:i w:val="false"/>
          <w:color w:val="000000"/>
          <w:sz w:val="22"/>
        </w:rPr>
        <w:t>(2), the MCO shall allow enrollees freedom of choice of providers of any department-enrolled family planning service provider including those providers that are not in the MCP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val="false"/>
          <w:color w:val="000000"/>
          <w:sz w:val="22"/>
        </w:rPr>
        <w:t>Continuity of care. The MCP shall have policies and procedures that provide for the continuity of care of treatment to ensure that a new enrollee’s existing services are honored as required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val="false"/>
          <w:color w:val="000000"/>
          <w:sz w:val="22"/>
        </w:rPr>
        <w:t>Adequate service referral support and after-hours call-in coverage. The MCP shall ensure enrollee access to service information and medical coverage 24 hours a day, 7 days a week,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helpline. </w:t>
      </w:r>
      <w:r>
        <w:rPr>
          <w:rFonts w:ascii="Times New Roman" w:hAnsi="Times New Roman"/>
          <w:b w:val="false"/>
          <w:i w:val="false"/>
          <w:color w:val="000000"/>
          <w:sz w:val="22"/>
        </w:rPr>
        <w:t>The MCP shall maintain a dedicated toll-free enrollee services helpline as established in the contract to handle a variety of member inquiries and to provide warm transfer of enrollees to outside entities, such as provider offices, and to internal MCP departments, such as care coordinators.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Nurse call line. </w:t>
      </w:r>
      <w:r>
        <w:rPr>
          <w:rFonts w:ascii="Times New Roman" w:hAnsi="Times New Roman"/>
          <w:b w:val="false"/>
          <w:i w:val="false"/>
          <w:color w:val="000000"/>
          <w:sz w:val="22"/>
        </w:rPr>
        <w:t>The MCO shall operate a toll-free nurse call line that provides nurse triage telephone services for members to receive medical advice 24 hours a day, seven days a week from trained medical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val="false"/>
          <w:color w:val="000000"/>
          <w:sz w:val="22"/>
        </w:rPr>
        <w:t>The MCP shall ensure that network providers are responsible for providing preventive and primary health or dental care to the enrollee. Primary care providers shall initiate referrals for specialist care, where appropriate, and maintain the continuity of patient care. Primary care providers may be physicians, advanced registered nurse practitioners, or physician associates, licensed and practicing in accordance with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3.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