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441—73.6</w:t>
      </w:r>
      <w:r>
        <w:rPr>
          <w:rFonts w:ascii="Times New Roman" w:hAnsi="Times New Roman"/>
          <w:b/>
          <w:i w:val="false"/>
          <w:color w:val="000000"/>
          <w:sz w:val="22"/>
        </w:rPr>
        <w:t xml:space="preserve">(249A) </w:t>
      </w:r>
      <w:r>
        <w:rPr>
          <w:rFonts w:ascii="Times New Roman" w:hAnsi="Times New Roman"/>
          <w:b/>
          <w:i w:val="false"/>
          <w:color w:val="000000"/>
          <w:sz w:val="22"/>
        </w:rPr>
        <w:t xml:space="preserve">Amount, duration and scope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MCP shall provide, at a minimum, all benefits and services deemed medically necessary that are covered under the contract with the department. In accordance with federal funding requirements, including </w:t>
      </w:r>
      <w:r>
        <w:rPr>
          <w:rFonts w:ascii="Times New Roman" w:hAnsi="Times New Roman"/>
          <w:b w:val="false"/>
          <w:i w:val="false"/>
          <w:color w:val="000000"/>
          <w:sz w:val="22"/>
        </w:rPr>
        <w:t>42 CFR 438.210(a)</w:t>
      </w:r>
      <w:r>
        <w:rPr>
          <w:rFonts w:ascii="Times New Roman" w:hAnsi="Times New Roman"/>
          <w:b w:val="false"/>
          <w:i w:val="false"/>
          <w:color w:val="000000"/>
          <w:sz w:val="22"/>
        </w:rPr>
        <w:t>(3), the MCP shall furnish covered services in an amount, duration and scope reasonably expected to achieve the purpose for which the services are furnished. The MCP shall not arbitrarily deny or reduce the amount, duration and scope of a required service solely because of diagnosis, type of illness, or condition of the enrollee. With the exception of court-ordered services, as a condition of payment, the MCO shall provide prior authorization for any admissions to an NF, an ICF/ID, a psychiatric medical institution for children (PMIC), and a state-administered mental health institute. Prior MCO approval is also required for all out-of-state placements.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73.6(2)</w:t>
      </w:r>
      <w:r>
        <w:rPr>
          <w:rFonts w:ascii="Times New Roman" w:hAnsi="Times New Roman"/>
          <w:b w:val="false"/>
          <w:i w:val="false"/>
          <w:color w:val="000000"/>
          <w:sz w:val="22"/>
        </w:rPr>
        <w:t> </w:t>
      </w:r>
      <w:r>
        <w:rPr>
          <w:rFonts w:ascii="Times New Roman" w:hAnsi="Times New Roman"/>
          <w:b w:val="false"/>
          <w:i w:val="false"/>
          <w:color w:val="000000"/>
          <w:sz w:val="22"/>
        </w:rPr>
        <w:t>The MCP may place appropriate limits on services on the basis of medical necessity criteria for the purpose of utilization management, provided the services can reasonably be expected to achieve their purpose in accordance with the contract. The MCP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Avoid costs for services covered in the contract by referring members to publicly supported health or dental care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Deny reimbursement of covered services based on the presence of a preexisting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73.6(3)</w:t>
      </w:r>
      <w:r>
        <w:rPr>
          <w:rFonts w:ascii="Times New Roman" w:hAnsi="Times New Roman"/>
          <w:b w:val="false"/>
          <w:i w:val="false"/>
          <w:color w:val="000000"/>
          <w:sz w:val="22"/>
        </w:rPr>
        <w:t> </w:t>
      </w:r>
      <w:r>
        <w:rPr>
          <w:rFonts w:ascii="Times New Roman" w:hAnsi="Times New Roman"/>
          <w:b w:val="false"/>
          <w:i w:val="false"/>
          <w:color w:val="000000"/>
          <w:sz w:val="22"/>
        </w:rPr>
        <w:t>The MCP shall allow each enrollee to choose a health or dental professional, to the extent possible and appropriate, within the MCP’s provider network. The MCP shall ensure compliance with the Americans with Disabilities Act (ADA) as amended to July 1, 2026, in the delivery and approval of all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