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441—73.4</w:t>
      </w:r>
      <w:r>
        <w:rPr>
          <w:rFonts w:ascii="Times New Roman" w:hAnsi="Times New Roman"/>
          <w:b/>
          <w:i w:val="false"/>
          <w:color w:val="000000"/>
          <w:sz w:val="22"/>
        </w:rPr>
        <w:t xml:space="preserve">(249A) </w:t>
      </w:r>
      <w:r>
        <w:rPr>
          <w:rFonts w:ascii="Times New Roman" w:hAnsi="Times New Roman"/>
          <w:b/>
          <w:i w:val="false"/>
          <w:color w:val="000000"/>
          <w:sz w:val="22"/>
        </w:rPr>
        <w:t xml:space="preserve">Disenrollment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73.4(1)</w:t>
      </w:r>
      <w:r>
        <w:rPr>
          <w:rFonts w:ascii="Times New Roman" w:hAnsi="Times New Roman"/>
          <w:b w:val="false"/>
          <w:i w:val="false"/>
          <w:color w:val="000000"/>
          <w:sz w:val="22"/>
        </w:rPr>
        <w:t> </w:t>
      </w:r>
      <w:r>
        <w:rPr>
          <w:rFonts w:ascii="Times New Roman" w:hAnsi="Times New Roman"/>
          <w:b w:val="false"/>
          <w:i/>
          <w:color w:val="000000"/>
          <w:sz w:val="22"/>
        </w:rPr>
        <w:t xml:space="preserve">Enrollee-requested disenrollment. </w:t>
      </w:r>
      <w:r>
        <w:rPr>
          <w:rFonts w:ascii="Times New Roman" w:hAnsi="Times New Roman"/>
          <w:b w:val="false"/>
          <w:i w:val="false"/>
          <w:color w:val="000000"/>
          <w:sz w:val="22"/>
        </w:rPr>
        <w:t>An enrollee may request disenrollment with an MCP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first 90 days following the date of the enrollee’s initial enrollment with the MCP, the enrollee may request disenrollment, for any reason, in writing or by a telephone call to the enrollment broker’s toll-free member telephone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90 days following the date of the enrollee’s enrollment with the MCP, when an enrollee is requesting disenrollment due to good cause, the enrollee member shall first make a verbal or written filing of the issue through the MCP’s grievance system. If the member does not experience resolution, the MCP shall direct the member to the enrollment broker. The enrolled member may request disenrollment in writing or by a telephone call to the enrollment broker’s toll-free member telephone line and must request a good-cause change for enrollment. Good-cause changes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MCP does not, because of moral or religious objections, cover the service the member seeks.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needs related services to be performed at the same time, not all related services are available within the network, and the member’s primary care provider or another provider determines that receiving the services separately would subject the member to unnecessary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reasons, including but not limited to poor quality of care, lack of access to services covered under the contract, lack of access to providers experienced in dealing with the member’s health or dental care needs, or eligibility and choice to participate in a program not available in managed care (for example, 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decision for disenrollment will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73.4(2)</w:t>
      </w:r>
      <w:r>
        <w:rPr>
          <w:rFonts w:ascii="Times New Roman" w:hAnsi="Times New Roman"/>
          <w:b w:val="false"/>
          <w:i w:val="false"/>
          <w:color w:val="000000"/>
          <w:sz w:val="22"/>
        </w:rPr>
        <w:t> </w:t>
      </w:r>
      <w:r>
        <w:rPr>
          <w:rFonts w:ascii="Times New Roman" w:hAnsi="Times New Roman"/>
          <w:b w:val="false"/>
          <w:i/>
          <w:color w:val="000000"/>
          <w:sz w:val="22"/>
        </w:rPr>
        <w:t xml:space="preserve">Disenrollment by department. </w:t>
      </w:r>
      <w:r>
        <w:rPr>
          <w:rFonts w:ascii="Times New Roman" w:hAnsi="Times New Roman"/>
          <w:b w:val="false"/>
          <w:i w:val="false"/>
          <w:color w:val="000000"/>
          <w:sz w:val="22"/>
        </w:rPr>
        <w:t>Disenrollment will occur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between the department and the MCP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becomes ineligible for Medicaid, the hawki program, IHAWP, or the dental wellness plan. If the enrollee becomes ineligible and is later reinstated to these programs, enrollment in the MCP will also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enrollee transfers to an eligibility group excluded from managed care plan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has determined that participation in HIPP as described in </w:t>
      </w:r>
      <w:hyperlink r:id="rId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xml:space="preserve"> is more cost-effective than enrollment in managed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enrollee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enrollee has changed residence to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73.4(3)</w:t>
      </w:r>
      <w:r>
        <w:rPr>
          <w:rFonts w:ascii="Times New Roman" w:hAnsi="Times New Roman"/>
          <w:b w:val="false"/>
          <w:i w:val="false"/>
          <w:color w:val="000000"/>
          <w:sz w:val="22"/>
        </w:rPr>
        <w:t> </w:t>
      </w:r>
      <w:r>
        <w:rPr>
          <w:rFonts w:ascii="Times New Roman" w:hAnsi="Times New Roman"/>
          <w:b w:val="false"/>
          <w:i/>
          <w:color w:val="000000"/>
          <w:sz w:val="22"/>
        </w:rPr>
        <w:t xml:space="preserve">Managed care plan-requested disenrollment. </w:t>
      </w:r>
      <w:r>
        <w:rPr>
          <w:rFonts w:ascii="Times New Roman" w:hAnsi="Times New Roman"/>
          <w:b w:val="false"/>
          <w:i w:val="false"/>
          <w:color w:val="000000"/>
          <w:sz w:val="22"/>
        </w:rPr>
        <w:t>An MCP shall not disenroll an enrollee or encourage an enrollee to disenroll for any reason, including the enrollee’s health or dental care needs or change in health or dental care status or because of the enrollee’s utilization of medical services, diminished capacity, or uncooperative or disruptive behavior resulting from the enrollee’s special needs. The only exception is when the MCP can document and provide conclusive evidence to the department that the enrollee’s continued enrollment seriously impairs the MCP’s ability to furnish services to either this particular enrollee or other enrollees. The MCP shall have a multi-level verification process by which the department is assured that disenrollment is not requested for another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73.4(4)</w:t>
      </w:r>
      <w:r>
        <w:rPr>
          <w:rFonts w:ascii="Times New Roman" w:hAnsi="Times New Roman"/>
          <w:b w:val="false"/>
          <w:i w:val="false"/>
          <w:color w:val="000000"/>
          <w:sz w:val="22"/>
        </w:rPr>
        <w:t> </w:t>
      </w:r>
      <w:r>
        <w:rPr>
          <w:rFonts w:ascii="Times New Roman" w:hAnsi="Times New Roman"/>
          <w:b w:val="false"/>
          <w:i/>
          <w:color w:val="000000"/>
          <w:sz w:val="22"/>
        </w:rPr>
        <w:t xml:space="preserve">Disenrollment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date of a department-approved disenrollment will be no later than the first day of the second calendar month beginning after the month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enrollee requests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notifies the enrollee and MCP of disenrollment;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MCP requests disenrollment.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shall remain enrolled in the MCP and the MCP will be responsible for services covered under the contract until the effective date of disenrollment unless the enrollee is in an inpatient setting at the time of disenrollment. If the enrollee is in an inpatient setting at the time of disenrollment, the MCO shall be responsible for the inpatient services for 60 days or until the enrollee is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