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441—73.25</w:t>
      </w:r>
      <w:r>
        <w:rPr>
          <w:rFonts w:ascii="Times New Roman" w:hAnsi="Times New Roman"/>
          <w:b/>
          <w:i w:val="false"/>
          <w:color w:val="000000"/>
          <w:sz w:val="22"/>
        </w:rPr>
        <w:t xml:space="preserve">(249A) </w:t>
      </w:r>
      <w:r>
        <w:rPr>
          <w:rFonts w:ascii="Times New Roman" w:hAnsi="Times New Roman"/>
          <w:b/>
          <w:i w:val="false"/>
          <w:color w:val="000000"/>
          <w:sz w:val="22"/>
        </w:rPr>
        <w:t xml:space="preserve">Certifications and program integrity. </w:t>
      </w:r>
      <w:r>
        <w:rPr>
          <w:rFonts w:ascii="Times New Roman" w:hAnsi="Times New Roman"/>
          <w:b w:val="false"/>
          <w:i w:val="false"/>
          <w:color w:val="000000"/>
          <w:sz w:val="22"/>
        </w:rPr>
        <w:t xml:space="preserve">The MCP shall develop and implement policies, procedures, and a mandatory compliance plan to ensure compliance with the contract requirements for certification, program integrity and prohibited affiliations. The MCP shall cooperate and collaborate with the department on all program integrity activities. The MCP shall comply with state and federal laws pertaining to these requirements, including </w:t>
      </w:r>
      <w:r>
        <w:rPr>
          <w:rFonts w:ascii="Times New Roman" w:hAnsi="Times New Roman"/>
          <w:b w:val="false"/>
          <w:i w:val="false"/>
          <w:color w:val="000000"/>
          <w:sz w:val="22"/>
        </w:rPr>
        <w:t>42 CFR 438.608</w:t>
      </w:r>
      <w:r>
        <w:rPr>
          <w:rFonts w:ascii="Times New Roman" w:hAnsi="Times New Roman"/>
          <w:b w:val="false"/>
          <w:i w:val="false"/>
          <w:color w:val="000000"/>
          <w:sz w:val="22"/>
        </w:rPr>
        <w:t xml:space="preserve"> and 42 CFR 455.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0312D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