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441—73.23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Claims payment by the MCP.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73.23(1)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MCOs shall pay or deny: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Ninety percent of all clean claims within 30 calendar days of receipt,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Ninety-nine point five percent of all clean claims within 90 calendar days of receipt,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Ninety-five percent of all claims within 45 calendar days of receipt.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73.23(2)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PAHP shall pay or deny: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Ninety percent of all clean claims within 14 calendar days of receipt,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Ninety-nine percent of all clean claims within 90 calendar days of receipt,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Ninety-five percent of all claims within 21 calendar days of receipt.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73.23(3)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Managed care limits on payment responsibility for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MCP is not required to reimburse providers for the provision of services that do not meet the criteria of medical necessity.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MCP has the right to require prior authorization of covered services and to deny reimbursement to providers that do not comply with such requirements.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responsibilities for emergency room services are as provided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441—73.7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73.23(4)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to nonparticipating providers. In reimbursing nonparticipating providers, the MCO is obligated to pay 80 percent of the payment to participating providers.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73.23(5)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Timely filing. The in-network provider filing limit shall be no more than 180 days from the date of service.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3.7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