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441—73.22</w:t>
      </w:r>
      <w:r>
        <w:rPr>
          <w:rFonts w:ascii="Times New Roman" w:hAnsi="Times New Roman"/>
          <w:b/>
          <w:i w:val="false"/>
          <w:color w:val="000000"/>
          <w:sz w:val="22"/>
        </w:rPr>
        <w:t xml:space="preserve">(249A) </w:t>
      </w:r>
      <w:r>
        <w:rPr>
          <w:rFonts w:ascii="Times New Roman" w:hAnsi="Times New Roman"/>
          <w:b/>
          <w:i w:val="false"/>
          <w:color w:val="000000"/>
          <w:sz w:val="22"/>
        </w:rPr>
        <w:t xml:space="preserve">Payment to the MCP.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73.22(1)</w:t>
      </w:r>
      <w:r>
        <w:rPr>
          <w:rFonts w:ascii="Times New Roman" w:hAnsi="Times New Roman"/>
          <w:b w:val="false"/>
          <w:i w:val="false"/>
          <w:color w:val="000000"/>
          <w:sz w:val="22"/>
        </w:rPr>
        <w:t> </w:t>
      </w:r>
      <w:r>
        <w:rPr>
          <w:rFonts w:ascii="Times New Roman" w:hAnsi="Times New Roman"/>
          <w:b w:val="false"/>
          <w:i/>
          <w:color w:val="000000"/>
          <w:sz w:val="22"/>
        </w:rPr>
        <w:t xml:space="preserve">Capitation rate. </w:t>
      </w:r>
      <w:r>
        <w:rPr>
          <w:rFonts w:ascii="Times New Roman" w:hAnsi="Times New Roman"/>
          <w:b w:val="false"/>
          <w:i w:val="false"/>
          <w:color w:val="000000"/>
          <w:sz w:val="22"/>
        </w:rPr>
        <w:t xml:space="preserve">In consideration for all services rendered by an MCP under a contract with the department, the MCP will receive a payment each month for each enrolled member. The monthly reimbursement may be reduced by amounts withheld for pay-for-performance components of the contract. The withheld amounts will be distributed based on the terms described in the MCP contract. Additionally, the department will make an allowance for obligations resulting from </w:t>
      </w:r>
      <w:r>
        <w:rPr>
          <w:rFonts w:ascii="Times New Roman" w:hAnsi="Times New Roman"/>
          <w:b w:val="false"/>
          <w:i w:val="false"/>
          <w:color w:val="000000"/>
          <w:sz w:val="22"/>
        </w:rPr>
        <w:t>Section 9010 of the Patient Protection and Affordable Care Act</w:t>
      </w:r>
      <w:r>
        <w:rPr>
          <w:rFonts w:ascii="Times New Roman" w:hAnsi="Times New Roman"/>
          <w:b w:val="false"/>
          <w:i w:val="false"/>
          <w:color w:val="000000"/>
          <w:sz w:val="22"/>
        </w:rPr>
        <w:t xml:space="preserve"> as amended to July 1, 2026, regarding the health insurance provider’s fee. This capitation rate, inclusive of the amounts withheld and the health insurance provider’s fee, represents the total obligation of the department with respect to the costs of medical care and services provided to enrolled members under the contract, except as otherwise designated in the contract rate. Pay-for-performance terms will allow for incentive reimbursement if the MCP meets metrics described in the MCP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73.22(2)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rate. </w:t>
      </w:r>
      <w:r>
        <w:rPr>
          <w:rFonts w:ascii="Times New Roman" w:hAnsi="Times New Roman"/>
          <w:b w:val="false"/>
          <w:i w:val="false"/>
          <w:color w:val="000000"/>
          <w:sz w:val="22"/>
        </w:rPr>
        <w:t xml:space="preserve">The actuarially sound capitation rate will be determined according to the terms of federal funding requirements, including </w:t>
      </w:r>
      <w:r>
        <w:rPr>
          <w:rFonts w:ascii="Times New Roman" w:hAnsi="Times New Roman"/>
          <w:b w:val="false"/>
          <w:i w:val="false"/>
          <w:color w:val="000000"/>
          <w:sz w:val="22"/>
        </w:rPr>
        <w:t>42 CFR 438.6</w:t>
      </w:r>
      <w:r>
        <w:rPr>
          <w:rFonts w:ascii="Times New Roman" w:hAnsi="Times New Roman"/>
          <w:b w:val="false"/>
          <w:i w:val="false"/>
          <w:color w:val="000000"/>
          <w:sz w:val="22"/>
        </w:rPr>
        <w:t>, Actuarial Standards of Practice 49, as amended to July 1, 2026, and other related CMS regulations and generally accepted actuarial principles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73.22(3)</w:t>
      </w:r>
      <w:r>
        <w:rPr>
          <w:rFonts w:ascii="Times New Roman" w:hAnsi="Times New Roman"/>
          <w:b w:val="false"/>
          <w:i w:val="false"/>
          <w:color w:val="000000"/>
          <w:sz w:val="22"/>
        </w:rPr>
        <w:t> </w:t>
      </w:r>
      <w:r>
        <w:rPr>
          <w:rFonts w:ascii="Times New Roman" w:hAnsi="Times New Roman"/>
          <w:b w:val="false"/>
          <w:i/>
          <w:color w:val="000000"/>
          <w:sz w:val="22"/>
        </w:rPr>
        <w:t xml:space="preserve">Third-party liability. </w:t>
      </w:r>
      <w:r>
        <w:rPr>
          <w:rFonts w:ascii="Times New Roman" w:hAnsi="Times New Roman"/>
          <w:b w:val="false"/>
          <w:i w:val="false"/>
          <w:color w:val="000000"/>
          <w:sz w:val="22"/>
        </w:rPr>
        <w:t>If an enrolled member has health insurance coverage or a responsible party other than the Medicaid program available for payment of medical or dental expenses, it is the right and responsibility of the MCP to investigate these third-party resources and attempt to obtain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MCP shall have a time limit determined by the department to attempt to collect from third-party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MCP shall retain all funds collected from third-party resources during the time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complete record of all third-party collections must be maintained and made available to the department 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the event that the MCP no longer contracts with the department, the department has the right to seek recovery of any third-party collections not collected by the time the contract ends and retain the funds. This includes but is not limited to subrogation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has the right to retain all funds collected from third-party resources after the MCP time limit.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73.22(4)</w:t>
      </w:r>
      <w:r>
        <w:rPr>
          <w:rFonts w:ascii="Times New Roman" w:hAnsi="Times New Roman"/>
          <w:b w:val="false"/>
          <w:i w:val="false"/>
          <w:color w:val="000000"/>
          <w:sz w:val="22"/>
        </w:rPr>
        <w:t> </w:t>
      </w:r>
      <w:r>
        <w:rPr>
          <w:rFonts w:ascii="Times New Roman" w:hAnsi="Times New Roman"/>
          <w:b w:val="false"/>
          <w:i/>
          <w:color w:val="000000"/>
          <w:sz w:val="22"/>
        </w:rPr>
        <w:t xml:space="preserve">Medical loss ratio. </w:t>
      </w:r>
      <w:r>
        <w:rPr>
          <w:rFonts w:ascii="Times New Roman" w:hAnsi="Times New Roman"/>
          <w:b w:val="false"/>
          <w:i w:val="false"/>
          <w:color w:val="000000"/>
          <w:sz w:val="22"/>
        </w:rPr>
        <w:t>The MCP shall report the experienced medical loss ratio for each contract rate period. In the event that the medical loss ratio falls below the department-designated target, the department shall recoup excess capitation paid to the MCP.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0312D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