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441—73.20</w:t>
      </w:r>
      <w:r>
        <w:rPr>
          <w:rFonts w:ascii="Times New Roman" w:hAnsi="Times New Roman"/>
          <w:b/>
          <w:i w:val="false"/>
          <w:color w:val="000000"/>
          <w:sz w:val="22"/>
        </w:rPr>
        <w:t xml:space="preserve">(249A) </w:t>
      </w:r>
      <w:r>
        <w:rPr>
          <w:rFonts w:ascii="Times New Roman" w:hAnsi="Times New Roman"/>
          <w:b/>
          <w:i w:val="false"/>
          <w:color w:val="000000"/>
          <w:sz w:val="22"/>
        </w:rPr>
        <w:t xml:space="preserve">Marketing. </w:t>
      </w:r>
      <w:r>
        <w:rPr>
          <w:rFonts w:ascii="Times New Roman" w:hAnsi="Times New Roman"/>
          <w:b w:val="false"/>
          <w:i w:val="false"/>
          <w:color w:val="000000"/>
          <w:sz w:val="22"/>
        </w:rPr>
        <w:t xml:space="preserve">MCP marketing activities and materials shall comply with applicable laws and regulations regarding marketing by the MCP and contract terms. The department will approve all marketing materials, which must comply with federal funding requirements, including </w:t>
      </w:r>
      <w:r>
        <w:rPr>
          <w:rFonts w:ascii="Times New Roman" w:hAnsi="Times New Roman"/>
          <w:b w:val="false"/>
          <w:i w:val="false"/>
          <w:color w:val="000000"/>
          <w:sz w:val="22"/>
        </w:rPr>
        <w:t>42 CFR 438.10</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438.104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