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441—73.18</w:t>
      </w:r>
      <w:r>
        <w:rPr>
          <w:rFonts w:ascii="Times New Roman" w:hAnsi="Times New Roman"/>
          <w:b/>
          <w:i w:val="false"/>
          <w:color w:val="000000"/>
          <w:sz w:val="22"/>
        </w:rPr>
        <w:t xml:space="preserve">(249A) </w:t>
      </w:r>
      <w:r>
        <w:rPr>
          <w:rFonts w:ascii="Times New Roman" w:hAnsi="Times New Roman"/>
          <w:b/>
          <w:i w:val="false"/>
          <w:color w:val="000000"/>
          <w:sz w:val="22"/>
        </w:rPr>
        <w:t xml:space="preserve">Records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73.18(1)</w:t>
      </w:r>
      <w:r>
        <w:rPr>
          <w:rFonts w:ascii="Times New Roman" w:hAnsi="Times New Roman"/>
          <w:b w:val="false"/>
          <w:i w:val="false"/>
          <w:color w:val="000000"/>
          <w:sz w:val="22"/>
        </w:rPr>
        <w:t> </w:t>
      </w:r>
      <w:r>
        <w:rPr>
          <w:rFonts w:ascii="Times New Roman" w:hAnsi="Times New Roman"/>
          <w:b w:val="false"/>
          <w:i/>
          <w:color w:val="000000"/>
          <w:sz w:val="22"/>
        </w:rPr>
        <w:t xml:space="preserve">Records system. </w:t>
      </w:r>
      <w:r>
        <w:rPr>
          <w:rFonts w:ascii="Times New Roman" w:hAnsi="Times New Roman"/>
          <w:b w:val="false"/>
          <w:i w:val="false"/>
          <w:color w:val="000000"/>
          <w:sz w:val="22"/>
        </w:rPr>
        <w:t xml:space="preserve">The MCPs shall document and maintain clinical and fiscal records in accordance with federal and state requirements, including 441—Chapter </w:t>
      </w:r>
      <w:hyperlink r:id="rId4">
        <w:r>
          <w:rPr>
            <w:rStyle w:val="Hyperlink"/>
            <w:rFonts w:ascii="Times New Roman" w:hAnsi="Times New Roman"/>
            <w:b w:val="false"/>
            <w:i w:val="false"/>
            <w:color w:val="000000"/>
            <w:sz w:val="22"/>
          </w:rPr>
          <w:t>79</w:t>
        </w:r>
      </w:hyperlink>
      <w:r>
        <w:rPr>
          <w:rFonts w:ascii="Times New Roman" w:hAnsi="Times New Roman"/>
          <w:b w:val="false"/>
          <w:i w:val="false"/>
          <w:color w:val="000000"/>
          <w:sz w:val="22"/>
        </w:rPr>
        <w:t xml:space="preserve"> and 42 CFR 456, throughout the course of the contract. The records system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transactions with or on behalf of each enrollee by the state identification number assigned to the enrollee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rationale for, and documentation of, decisions made by the MCP based upon medical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Permit effective professional review for medical audit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Facilitate an adequate system for monitoring treatment reimbursed by the MCO, including follow up of the implementation of discharge plans and referral to other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73.18(2)</w:t>
      </w:r>
      <w:r>
        <w:rPr>
          <w:rFonts w:ascii="Times New Roman" w:hAnsi="Times New Roman"/>
          <w:b w:val="false"/>
          <w:i w:val="false"/>
          <w:color w:val="000000"/>
          <w:sz w:val="22"/>
        </w:rPr>
        <w:t> </w:t>
      </w:r>
      <w:r>
        <w:rPr>
          <w:rFonts w:ascii="Times New Roman" w:hAnsi="Times New Roman"/>
          <w:b w:val="false"/>
          <w:i/>
          <w:color w:val="000000"/>
          <w:sz w:val="22"/>
        </w:rPr>
        <w:t xml:space="preserve">Content of individual treatment record. </w:t>
      </w:r>
      <w:r>
        <w:rPr>
          <w:rFonts w:ascii="Times New Roman" w:hAnsi="Times New Roman"/>
          <w:b w:val="false"/>
          <w:i w:val="false"/>
          <w:color w:val="000000"/>
          <w:sz w:val="22"/>
        </w:rPr>
        <w:t xml:space="preserve">The MCP shall ensure that participating providers maintain an adequate recordkeeping system that includes a complete medical, dental, or service record for each enrolled member including documentation of all services provided to each enrollee in compliance with the contract and provisions of </w:t>
      </w:r>
      <w:hyperlink r:id="rId5">
        <w:r>
          <w:rPr>
            <w:rStyle w:val="Hyperlink"/>
            <w:rFonts w:ascii="Times New Roman" w:hAnsi="Times New Roman"/>
            <w:b w:val="false"/>
            <w:i w:val="false"/>
            <w:color w:val="000000"/>
            <w:sz w:val="22"/>
          </w:rPr>
          <w:t>441—Chapter 79</w:t>
        </w:r>
      </w:hyperlink>
      <w:r>
        <w:rPr>
          <w:rFonts w:ascii="Times New Roman" w:hAnsi="Times New Roman"/>
          <w:b w:val="false"/>
          <w:i w:val="false"/>
          <w:color w:val="000000"/>
          <w:sz w:val="22"/>
        </w:rPr>
        <w:t xml:space="preserve"> and pursuant to federal funding requirements, including 42 CFR 456. MCOs shall require use of an EVV system for personal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73.18(3)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health care, mental health care, and substance abuse information. </w:t>
      </w:r>
      <w:r>
        <w:rPr>
          <w:rFonts w:ascii="Times New Roman" w:hAnsi="Times New Roman"/>
          <w:b w:val="false"/>
          <w:i w:val="false"/>
          <w:color w:val="000000"/>
          <w:sz w:val="22"/>
        </w:rPr>
        <w:t>The MCP shall protect and maintain the confidentiality of all protected health information by implementing policies for staff and through contract terms with participating providers. The policies must comply with applicable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73.18(4)</w:t>
      </w:r>
      <w:r>
        <w:rPr>
          <w:rFonts w:ascii="Times New Roman" w:hAnsi="Times New Roman"/>
          <w:b w:val="false"/>
          <w:i w:val="false"/>
          <w:color w:val="000000"/>
          <w:sz w:val="22"/>
        </w:rPr>
        <w:t> </w:t>
      </w:r>
      <w:r>
        <w:rPr>
          <w:rFonts w:ascii="Times New Roman" w:hAnsi="Times New Roman"/>
          <w:b w:val="false"/>
          <w:i/>
          <w:color w:val="000000"/>
          <w:sz w:val="22"/>
        </w:rPr>
        <w:t xml:space="preserve">EVV system. </w:t>
      </w:r>
      <w:r>
        <w:rPr>
          <w:rFonts w:ascii="Times New Roman" w:hAnsi="Times New Roman"/>
          <w:b w:val="false"/>
          <w:i w:val="false"/>
          <w:color w:val="000000"/>
          <w:sz w:val="22"/>
        </w:rPr>
        <w:t xml:space="preserve">The MCO will participate in EVV planning activities and use the MCO-proposed, department-approved EVV system that will be in place within a time frame determined by the department to ensure compliance with state and federal regulations, including </w:t>
      </w:r>
      <w:r>
        <w:rPr>
          <w:rFonts w:ascii="Times New Roman" w:hAnsi="Times New Roman"/>
          <w:b w:val="false"/>
          <w:i w:val="false"/>
          <w:color w:val="000000"/>
          <w:sz w:val="22"/>
        </w:rPr>
        <w:t>Section 12006 of the Cures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 §1396b(1)</w:t>
      </w:r>
      <w:r>
        <w:rPr>
          <w:rFonts w:ascii="Times New Roman" w:hAnsi="Times New Roman"/>
          <w:b w:val="false"/>
          <w:i w:val="false"/>
          <w:color w:val="000000"/>
          <w:sz w:val="22"/>
        </w:rPr>
        <w:t xml:space="preserve"> as amended to July 1, 2026). Beginning on the dates required by the department, the MCO shall require personal care providers and home health services to use the MCO EVV system or another EVV system complying with </w:t>
      </w:r>
      <w:r>
        <w:rPr>
          <w:rFonts w:ascii="Times New Roman" w:hAnsi="Times New Roman"/>
          <w:b w:val="false"/>
          <w:i w:val="false"/>
          <w:color w:val="000000"/>
          <w:sz w:val="22"/>
        </w:rPr>
        <w:t>Section 12006 of the Cures Act</w:t>
      </w:r>
      <w:r>
        <w:rPr>
          <w:rFonts w:ascii="Times New Roman" w:hAnsi="Times New Roman"/>
          <w:b w:val="false"/>
          <w:i w:val="false"/>
          <w:color w:val="000000"/>
          <w:sz w:val="22"/>
        </w:rPr>
        <w:t xml:space="preserve"> as amended to July 1, 2026. The MCO shall develop and describe what methodologies will be used to monitor member receipt and utilization of personal care, home health services, and other services using the EVV system. All EVV data that originates in or passes through the MCO EVV system will be provided to the department in a format and time frame subject to department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79.pdf" Type="http://schemas.openxmlformats.org/officeDocument/2006/relationships/hyperlink" Id="rId4"/>
    <Relationship TargetMode="External" Target="https://www.legis.iowa.gov/docs/iac/chapter/441.79.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