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441—73.12</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of MCP actions. </w:t>
      </w:r>
      <w:r>
        <w:rPr>
          <w:rFonts w:ascii="Times New Roman" w:hAnsi="Times New Roman"/>
          <w:b w:val="false"/>
          <w:i w:val="false"/>
          <w:color w:val="000000"/>
          <w:sz w:val="22"/>
        </w:rPr>
        <w:t>The MCPs shall have written first-level appeal policies and procedures for an enrollee, or an enrollee’s authorized representative, to appeal an MCP action. The policies must address contractual requirements and federal funding requirements, including 42 CFR 438, Subpart 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73.12(1)</w:t>
      </w:r>
      <w:r>
        <w:rPr>
          <w:rFonts w:ascii="Times New Roman" w:hAnsi="Times New Roman"/>
          <w:b w:val="false"/>
          <w:i w:val="false"/>
          <w:color w:val="000000"/>
          <w:sz w:val="22"/>
        </w:rPr>
        <w:t> </w:t>
      </w:r>
      <w:r>
        <w:rPr>
          <w:rFonts w:ascii="Times New Roman" w:hAnsi="Times New Roman"/>
          <w:b w:val="false"/>
          <w:i/>
          <w:color w:val="000000"/>
          <w:sz w:val="22"/>
        </w:rPr>
        <w:t xml:space="preserve">MCP appealable actions. </w:t>
      </w:r>
      <w:r>
        <w:rPr>
          <w:rFonts w:ascii="Times New Roman" w:hAnsi="Times New Roman"/>
          <w:b w:val="false"/>
          <w:i w:val="false"/>
          <w:color w:val="000000"/>
          <w:sz w:val="22"/>
        </w:rPr>
        <w:t xml:space="preserve">MCP actions that may be appealed by an enrollee may include, as cited in </w:t>
      </w:r>
      <w:r>
        <w:rPr>
          <w:rFonts w:ascii="Times New Roman" w:hAnsi="Times New Roman"/>
          <w:b w:val="false"/>
          <w:i w:val="false"/>
          <w:color w:val="000000"/>
          <w:sz w:val="22"/>
        </w:rPr>
        <w:t>42 CFR 438.400(b)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Denial or limited authorization of a requested service, including the type or level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Reduction, suspension, or termination of a previously authorized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Denial, in whole or in part, of payment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provide services in a timely manner as described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act within the required time frames set forth in federal funding requirements, including </w:t>
      </w:r>
      <w:r>
        <w:rPr>
          <w:rFonts w:ascii="Times New Roman" w:hAnsi="Times New Roman"/>
          <w:b w:val="false"/>
          <w:i w:val="false"/>
          <w:color w:val="000000"/>
          <w:sz w:val="22"/>
        </w:rPr>
        <w:t>42 CFR 438.408(b)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Denial of an enrollee’s request to exercise the enrollee’s right to obtain services outside of the MCP’s network related to rural access or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Denial of an enrollee’s request to dispute a financial liability, including cost sharing, copayments, premiums, deductibles, coinsurance, and other enrollee financial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73.12(2)</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The MCP first-level appeal process will be approved by the department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 for the appeal request to be submitted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acknowledgment of the receipt of a request for an appeal within three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Allow for participation by the enrollee and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for resolution of nonexpedited appeals to be concluded within 30 calendar days of receipt of the request unless an extension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for resolution of expedited appeals where the standard time period could seriously jeopardize the member’s health or ability to maintain or regain maximum function to be within 72 hours of receipt of the notice pursuant to federal funding requirements, including </w:t>
      </w:r>
      <w:r>
        <w:rPr>
          <w:rFonts w:ascii="Times New Roman" w:hAnsi="Times New Roman"/>
          <w:b w:val="false"/>
          <w:i w:val="false"/>
          <w:color w:val="000000"/>
          <w:sz w:val="22"/>
        </w:rPr>
        <w:t>42 CFR 438.402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 that the review will be made by qualified professionals who were not involved with the original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Ensure issuance of a notice of decision for each appeal. These notices shall contain the member’s appeal rights with the department and shall contain an adequate explanation of the action taken and the reason for the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