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441—2506.4</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requests for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w:t>
      </w:r>
      <w:r>
        <w:rPr>
          <w:rFonts w:ascii="Times New Roman" w:hAnsi="Times New Roman"/>
          <w:b w:val="false"/>
          <w:i w:val="false"/>
          <w:color w:val="000000"/>
          <w:sz w:val="22"/>
        </w:rPr>
        <w:t> </w:t>
      </w:r>
      <w:r>
        <w:rPr>
          <w:rFonts w:ascii="Times New Roman" w:hAnsi="Times New Roman"/>
          <w:b w:val="false"/>
          <w:i/>
          <w:color w:val="000000"/>
          <w:sz w:val="22"/>
        </w:rPr>
        <w:t xml:space="preserve">When a contested case hearing will be granted. </w:t>
      </w:r>
      <w:r>
        <w:rPr>
          <w:rFonts w:ascii="Times New Roman" w:hAnsi="Times New Roman"/>
          <w:b w:val="false"/>
          <w:i w:val="false"/>
          <w:color w:val="000000"/>
          <w:sz w:val="22"/>
        </w:rPr>
        <w:t>A person will be granted a contested case hearing if the party-in-interest fulfills all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party-in-interest is entitled to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party-in-interest has an ongoing, specific and personal interest in the outcome of the contested case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party-in-interest meets all the other requirements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2506.4(4)</w:t>
      </w:r>
      <w:r>
        <w:rPr>
          <w:rFonts w:ascii="Times New Roman" w:hAnsi="Times New Roman"/>
          <w:b w:val="false"/>
          <w:i w:val="false"/>
          <w:color w:val="000000"/>
          <w:sz w:val="22"/>
        </w:rPr>
        <w:t> </w:t>
      </w:r>
      <w:r>
        <w:rPr>
          <w:rFonts w:ascii="Times New Roman" w:hAnsi="Times New Roman"/>
          <w:b w:val="false"/>
          <w:i/>
          <w:color w:val="000000"/>
          <w:sz w:val="22"/>
        </w:rPr>
        <w:t xml:space="preserve">When a contested case hearing will not be granted. </w:t>
      </w:r>
      <w:r>
        <w:rPr>
          <w:rFonts w:ascii="Times New Roman" w:hAnsi="Times New Roman"/>
          <w:b w:val="false"/>
          <w:i w:val="false"/>
          <w:color w:val="000000"/>
          <w:sz w:val="22"/>
        </w:rPr>
        <w:t>A contested case hearing will not be granted when one of the following issues is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Patient treatment interventions outlined in the patient handbook of the civil commitment unit for sexual offenders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 have been removed from or placed in a specific foster care setting or preadoptive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final decision from a previous hearing with a presiding officer has been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a waiver of administrative rule has been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2506.4(5)</w:t>
      </w:r>
      <w:r>
        <w:rPr>
          <w:rFonts w:ascii="Times New Roman" w:hAnsi="Times New Roman"/>
          <w:b w:val="false"/>
          <w:i w:val="false"/>
          <w:color w:val="000000"/>
          <w:sz w:val="22"/>
        </w:rPr>
        <w:t> </w:t>
      </w:r>
      <w:r>
        <w:rPr>
          <w:rFonts w:ascii="Times New Roman" w:hAnsi="Times New Roman"/>
          <w:b w:val="false"/>
          <w:i/>
          <w:color w:val="000000"/>
          <w:sz w:val="22"/>
        </w:rPr>
        <w:t xml:space="preserve">Exhaustion of remedies. </w:t>
      </w:r>
      <w:r>
        <w:rPr>
          <w:rFonts w:ascii="Times New Roman" w:hAnsi="Times New Roman"/>
          <w:b w:val="false"/>
          <w:i w:val="false"/>
          <w:color w:val="000000"/>
          <w:sz w:val="22"/>
        </w:rPr>
        <w:t>A person will only be granted a contested case hearing if the person has exhausted all other appeal remedies available. A person should refer to program-specific provisions for the appropriate procedures applicable to the specific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w:t>
      </w:r>
      <w:r>
        <w:rPr>
          <w:rFonts w:ascii="Times New Roman" w:hAnsi="Times New Roman"/>
          <w:b w:val="false"/>
          <w:i w:val="false"/>
          <w:color w:val="000000"/>
          <w:sz w:val="22"/>
        </w:rPr>
        <w:t> </w:t>
      </w:r>
      <w:r>
        <w:rPr>
          <w:rFonts w:ascii="Times New Roman" w:hAnsi="Times New Roman"/>
          <w:b w:val="false"/>
          <w:i/>
          <w:color w:val="000000"/>
          <w:sz w:val="22"/>
        </w:rPr>
        <w:t xml:space="preserve">Exception for requesting a contested case proceeding hearing for Supplemental Nutrition Assistance Program (SNAP) and Medicaid appeals. </w:t>
      </w:r>
      <w:r>
        <w:rPr>
          <w:rFonts w:ascii="Times New Roman" w:hAnsi="Times New Roman"/>
          <w:b w:val="false"/>
          <w:i w:val="false"/>
          <w:color w:val="000000"/>
          <w:sz w:val="22"/>
        </w:rPr>
        <w:t>A person entitled to a contested case or hearing for Medicaid and SNAP appeals may request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By submitting an electronic request through the agency’s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By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Through other commonly available electronic means (such as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2506.4(7)</w:t>
      </w:r>
      <w:r>
        <w:rPr>
          <w:rFonts w:ascii="Times New Roman" w:hAnsi="Times New Roman"/>
          <w:b w:val="false"/>
          <w:i w:val="false"/>
          <w:color w:val="000000"/>
          <w:sz w:val="22"/>
        </w:rPr>
        <w:t> </w:t>
      </w:r>
      <w:r>
        <w:rPr>
          <w:rFonts w:ascii="Times New Roman" w:hAnsi="Times New Roman"/>
          <w:b w:val="false"/>
          <w:i/>
          <w:color w:val="000000"/>
          <w:sz w:val="22"/>
        </w:rPr>
        <w:t xml:space="preserve">Time to file appeals. </w:t>
      </w:r>
      <w:r>
        <w:rPr>
          <w:rFonts w:ascii="Times New Roman" w:hAnsi="Times New Roman"/>
          <w:b w:val="false"/>
          <w:i w:val="false"/>
          <w:color w:val="000000"/>
          <w:sz w:val="22"/>
        </w:rPr>
        <w:t>For all requests for contested case hearing, and unless federal or state law provides otherwise, the person must file the request for contested case hearing on or before the thirtieth day following the date of notice of the action being appealed. If such an appeal is made more than 30 days, but less than 90 days, after the date of notice, the director or director’s designee may, at the director’s or designee’s sole discretion, allow a contested case hearing if the delay was for good cause, substantiated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2506.4(8)</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agency will determine with reasonable promptness whether the person who has filed the appeal is entitled to a contested case hearing. If a request is accepted, the agency will designate the issues. If a request is denied, the agency will provide written notice of and the reasons for the denial. On or before the thirtieth day following the denial, the person requesting the appeal may provide additional information related to the person’s asserted right to a contested case hearing and request reconsideration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2506.4(9)</w:t>
      </w:r>
      <w:r>
        <w:rPr>
          <w:rFonts w:ascii="Times New Roman" w:hAnsi="Times New Roman"/>
          <w:b w:val="false"/>
          <w:i w:val="false"/>
          <w:color w:val="000000"/>
          <w:sz w:val="22"/>
        </w:rPr>
        <w:t> </w:t>
      </w:r>
      <w:r>
        <w:rPr>
          <w:rFonts w:ascii="Times New Roman" w:hAnsi="Times New Roman"/>
          <w:b w:val="false"/>
          <w:i/>
          <w:color w:val="000000"/>
          <w:sz w:val="22"/>
        </w:rPr>
        <w:t xml:space="preserve">Designation of issues.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Initial designation. The issues initially designated by the agency will be certified to the department of inspections, appeals, and licensing (DIAL) and be identified in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designation of issues. If any person believes additional issues should be designated, the person shall identify the additional issues within the following timelines. The presiding officer shall determine whether all issues have properly been preserved.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 abuse and dependent adult abuse registry appeals. For a child abuse and dependent adult abuse registry appeal, the person shall identify additional issues at least 30 days before the date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Appeals set on or before the fifteenth day following the notice of hearing. If the hearing is on or before the fifteenth day following the date of the notice of hearing, the person shall identify any additional issues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other appeals. For all other appeals not identified in this paragraph, the person shall identify the additional issues on or before the fifteenth day following the date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2506.4(10)</w:t>
      </w:r>
      <w:r>
        <w:rPr>
          <w:rFonts w:ascii="Times New Roman" w:hAnsi="Times New Roman"/>
          <w:b w:val="false"/>
          <w:i w:val="false"/>
          <w:color w:val="000000"/>
          <w:sz w:val="22"/>
        </w:rPr>
        <w:t> </w:t>
      </w:r>
      <w:r>
        <w:rPr>
          <w:rFonts w:ascii="Times New Roman" w:hAnsi="Times New Roman"/>
          <w:b w:val="false"/>
          <w:i/>
          <w:color w:val="000000"/>
          <w:sz w:val="22"/>
        </w:rPr>
        <w:t xml:space="preserve">Agency responsibilities on SNAP hearing requests. </w:t>
      </w:r>
      <w:r>
        <w:rPr>
          <w:rFonts w:ascii="Times New Roman" w:hAnsi="Times New Roman"/>
          <w:b w:val="false"/>
          <w:i w:val="false"/>
          <w:color w:val="000000"/>
          <w:sz w:val="22"/>
        </w:rPr>
        <w:t xml:space="preserve">Upon request, the agency will make available without charge the specific materials necessary for a household or its representative to determine whether a hearing should be requested or to prepare for a hearing. If the person making the request speaks a language other than English and the agency is required by </w:t>
      </w:r>
      <w:r>
        <w:rPr>
          <w:rFonts w:ascii="Times New Roman" w:hAnsi="Times New Roman"/>
          <w:b w:val="false"/>
          <w:i w:val="false"/>
          <w:color w:val="000000"/>
          <w:sz w:val="22"/>
        </w:rPr>
        <w:t>7 CFR §272.4(c)</w:t>
      </w:r>
      <w:r>
        <w:rPr>
          <w:rFonts w:ascii="Times New Roman" w:hAnsi="Times New Roman"/>
          <w:b w:val="false"/>
          <w:i w:val="false"/>
          <w:color w:val="000000"/>
          <w:sz w:val="22"/>
        </w:rPr>
        <w:t>(3) as amended to July 1, 2026, to provide bilingual staff or interpreters who speak the appropriate language, the agency will ensure that the hearing procedures are verbally explained in that language. Upon request, the agency will also help a household with its hearing request. If a household makes an oral request for a hearing, the agency will complete the procedures necessary to start the hearing process. Households will be advised of any legal services available that can provide representation at the hearing. This rule does not preclude the provision of these services in all other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0300D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