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441—2506.35</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Continuation and reinstatement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2506.35(1)</w:t>
      </w:r>
      <w:r>
        <w:rPr>
          <w:rFonts w:ascii="Times New Roman" w:hAnsi="Times New Roman"/>
          <w:b w:val="false"/>
          <w:i w:val="false"/>
          <w:color w:val="000000"/>
          <w:sz w:val="22"/>
        </w:rPr>
        <w:t> </w:t>
      </w:r>
      <w:r>
        <w:rPr>
          <w:rFonts w:ascii="Times New Roman" w:hAnsi="Times New Roman"/>
          <w:b w:val="false"/>
          <w:i/>
          <w:color w:val="000000"/>
          <w:sz w:val="22"/>
        </w:rPr>
        <w:t xml:space="preserve">Programs for which no federal or state law applies. </w:t>
      </w:r>
      <w:r>
        <w:rPr>
          <w:rFonts w:ascii="Times New Roman" w:hAnsi="Times New Roman"/>
          <w:b w:val="false"/>
          <w:i w:val="false"/>
          <w:color w:val="000000"/>
          <w:sz w:val="22"/>
        </w:rPr>
        <w:t>For all assistance programs for which there is no contravening federal or state law, benefits or services shall not be suspended, reduced, restricted, or discontinued, nor shall a license, registration, certification, approval, or accreditation be revoked or other adverse action taken pending a final decision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is filed before the effective date of the intended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hearing within ten days of receipt of a notice to suspend, reduce, restrict, or discontinue benefits or services. The date on which the notice is received is considered to be five days after the date on the notice unless the appellant shows the notice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2506.35(2)</w:t>
      </w:r>
      <w:r>
        <w:rPr>
          <w:rFonts w:ascii="Times New Roman" w:hAnsi="Times New Roman"/>
          <w:b w:val="false"/>
          <w:i w:val="false"/>
          <w:color w:val="000000"/>
          <w:sz w:val="22"/>
        </w:rPr>
        <w:t> </w:t>
      </w:r>
      <w:r>
        <w:rPr>
          <w:rFonts w:ascii="Times New Roman" w:hAnsi="Times New Roman"/>
          <w:b w:val="false"/>
          <w:i/>
          <w:color w:val="000000"/>
          <w:sz w:val="22"/>
        </w:rPr>
        <w:t xml:space="preserve">Sole issue is state or federal law or policy. </w:t>
      </w:r>
      <w:r>
        <w:rPr>
          <w:rFonts w:ascii="Times New Roman" w:hAnsi="Times New Roman"/>
          <w:b w:val="false"/>
          <w:i w:val="false"/>
          <w:color w:val="000000"/>
          <w:sz w:val="22"/>
        </w:rPr>
        <w:t xml:space="preserve">Benefits or services continued pursuant to subrule </w:t>
      </w:r>
      <w:hyperlink r:id="rId4">
        <w:r>
          <w:rPr>
            <w:rStyle w:val="Hyperlink"/>
            <w:rFonts w:ascii="Times New Roman" w:hAnsi="Times New Roman"/>
            <w:b w:val="false"/>
            <w:i w:val="false"/>
            <w:color w:val="000000"/>
            <w:sz w:val="22"/>
          </w:rPr>
          <w:t>2506.35(1)</w:t>
        </w:r>
      </w:hyperlink>
      <w:r>
        <w:rPr>
          <w:rFonts w:ascii="Times New Roman" w:hAnsi="Times New Roman"/>
          <w:b w:val="false"/>
          <w:i w:val="false"/>
          <w:color w:val="000000"/>
          <w:sz w:val="22"/>
        </w:rPr>
        <w:t xml:space="preserve"> may be suspended, reduced, restricted, or discontinued if the presiding officer determines at the contested case hearing that the sole issue is one of state or federal law or policy and the agency has notified the enrollee in writing that services are to be suspended, reduced, restricted, or discontinued pending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2506.35(3)</w:t>
      </w:r>
      <w:r>
        <w:rPr>
          <w:rFonts w:ascii="Times New Roman" w:hAnsi="Times New Roman"/>
          <w:b w:val="false"/>
          <w:i w:val="false"/>
          <w:color w:val="000000"/>
          <w:sz w:val="22"/>
        </w:rPr>
        <w:t> </w:t>
      </w:r>
      <w:r>
        <w:rPr>
          <w:rFonts w:ascii="Times New Roman" w:hAnsi="Times New Roman"/>
          <w:b w:val="false"/>
          <w:i/>
          <w:color w:val="000000"/>
          <w:sz w:val="22"/>
        </w:rPr>
        <w:t xml:space="preserve">Recoup cost of services or benefits. </w:t>
      </w:r>
      <w:r>
        <w:rPr>
          <w:rFonts w:ascii="Times New Roman" w:hAnsi="Times New Roman"/>
          <w:b w:val="false"/>
          <w:i w:val="false"/>
          <w:color w:val="000000"/>
          <w:sz w:val="22"/>
        </w:rPr>
        <w:t xml:space="preserve">The agency or MCO may recoup the cost of benefits or services provided pursuant to this chapter and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if the adverse action appealed from is affirmed, consistent with state and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506.35.pdf" Type="http://schemas.openxmlformats.org/officeDocument/2006/relationships/hyperlink" Id="rId4"/>
    <Relationship TargetMode="External" Target="https://www.legis.iowa.gov/docs/iac/chapter/7.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