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441—2506.34</w:t>
      </w:r>
      <w:r>
        <w:rPr>
          <w:rFonts w:ascii="Times New Roman" w:hAnsi="Times New Roman"/>
          <w:b/>
          <w:i w:val="false"/>
          <w:color w:val="000000"/>
          <w:sz w:val="22"/>
        </w:rPr>
        <w:t xml:space="preserve">(17A) </w:t>
      </w:r>
      <w:r>
        <w:rPr>
          <w:rFonts w:ascii="Times New Roman" w:hAnsi="Times New Roman"/>
          <w:b/>
          <w:i w:val="false"/>
          <w:color w:val="000000"/>
          <w:sz w:val="22"/>
        </w:rPr>
        <w:t xml:space="preserve">SNAP administrative disqualification hearings. </w:t>
      </w:r>
      <w:r>
        <w:rPr>
          <w:rFonts w:ascii="Times New Roman" w:hAnsi="Times New Roman"/>
          <w:b w:val="false"/>
          <w:i w:val="false"/>
          <w:color w:val="000000"/>
          <w:sz w:val="22"/>
        </w:rPr>
        <w:t xml:space="preserve">An intentional program violation is determined through a SNAP administrative disqualification hearing; through a court conviction; or through individual signs and returns a form prescribed by the agency, which may result in a period of ineligibility for the program, a claim for overpayment of benefits, or both in accordance with the procedures outlined in this rule and in </w:t>
      </w:r>
      <w:r>
        <w:rPr>
          <w:rFonts w:ascii="Times New Roman" w:hAnsi="Times New Roman"/>
          <w:b w:val="false"/>
          <w:i w:val="false"/>
          <w:color w:val="000000"/>
          <w:sz w:val="22"/>
        </w:rPr>
        <w:t>7 CFR §273.16(e)</w:t>
      </w:r>
      <w:r>
        <w:rPr>
          <w:rFonts w:ascii="Times New Roman" w:hAnsi="Times New Roman"/>
          <w:b w:val="false"/>
          <w:i w:val="false"/>
          <w:color w:val="000000"/>
          <w:sz w:val="22"/>
        </w:rPr>
        <w:t xml:space="preserve"> and (f)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2506.34(1)</w:t>
      </w:r>
      <w:r>
        <w:rPr>
          <w:rFonts w:ascii="Times New Roman" w:hAnsi="Times New Roman"/>
          <w:b w:val="false"/>
          <w:i w:val="false"/>
          <w:color w:val="000000"/>
          <w:sz w:val="22"/>
        </w:rPr>
        <w:t> </w:t>
      </w:r>
      <w:r>
        <w:rPr>
          <w:rFonts w:ascii="Times New Roman" w:hAnsi="Times New Roman"/>
          <w:b w:val="false"/>
          <w:i w:val="false"/>
          <w:color w:val="000000"/>
          <w:sz w:val="22"/>
        </w:rPr>
        <w:t>When a case is referred for an administrative disqualification hearing, the agency will mail written notification to the individual that the individual can waive the right to an administrative disqualification hearing by signing and returning a waiver of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2506.34(2)</w:t>
      </w:r>
      <w:r>
        <w:rPr>
          <w:rFonts w:ascii="Times New Roman" w:hAnsi="Times New Roman"/>
          <w:b w:val="false"/>
          <w:i w:val="false"/>
          <w:color w:val="000000"/>
          <w:sz w:val="22"/>
        </w:rPr>
        <w:t> </w:t>
      </w:r>
      <w:r>
        <w:rPr>
          <w:rFonts w:ascii="Times New Roman" w:hAnsi="Times New Roman"/>
          <w:b w:val="false"/>
          <w:i w:val="false"/>
          <w:color w:val="000000"/>
          <w:sz w:val="22"/>
        </w:rPr>
        <w:t>By signing a waiver of right to an administrative disqualification hearing,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Waives the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Consents to the SNAP disqualification period designated in the waiver of right to an administrative disqualification hearing and a reduction of benefits for the period of disqualification;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Acknowledges that remaining household members, if any, may be held responsible for repayment of the resulting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2506.34(3)</w:t>
      </w:r>
      <w:r>
        <w:rPr>
          <w:rFonts w:ascii="Times New Roman" w:hAnsi="Times New Roman"/>
          <w:b w:val="false"/>
          <w:i w:val="false"/>
          <w:color w:val="000000"/>
          <w:sz w:val="22"/>
        </w:rPr>
        <w:t> </w:t>
      </w:r>
      <w:r>
        <w:rPr>
          <w:rFonts w:ascii="Times New Roman" w:hAnsi="Times New Roman"/>
          <w:b w:val="false"/>
          <w:i w:val="false"/>
          <w:color w:val="000000"/>
          <w:sz w:val="22"/>
        </w:rPr>
        <w:t>An administrative disqualification hearing will be scheduled if the individual does not sign and mail or fax the waiver of right to an administrative disqualification hearing to the agency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2506.34(4)</w:t>
      </w:r>
      <w:r>
        <w:rPr>
          <w:rFonts w:ascii="Times New Roman" w:hAnsi="Times New Roman"/>
          <w:b w:val="false"/>
          <w:i w:val="false"/>
          <w:color w:val="000000"/>
          <w:sz w:val="22"/>
        </w:rPr>
        <w:t> </w:t>
      </w:r>
      <w:r>
        <w:rPr>
          <w:rFonts w:ascii="Times New Roman" w:hAnsi="Times New Roman"/>
          <w:b w:val="false"/>
          <w:i w:val="false"/>
          <w:color w:val="000000"/>
          <w:sz w:val="22"/>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