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441—2506.32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Timelines for contested case hearings.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Medical assistance.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cases involving the determination of medical assistance, the contested case hearing shall be held within a time frame such that the final administrative action is timely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§431.244(f)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December 8, 2021.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Community spouse resource allowance.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cases involving the determination of the community spouse resource allowance, the hearing shall be held within 30 days of the date of the appeal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SNAP.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cases involving SNAP, the contested case hearing shall be held within a time frame such that the final administrative action is timely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 CFR §273.15(c)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2506.32(4)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WIC.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cases involving WIC, the hearing shall be held within three weeks from the date the request for hearing was received.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