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color w:val="000000"/>
          <w:sz w:val="22"/>
        </w:rPr>
        <w:t xml:space="preserve">Representation.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The agency may be represented by agency employees or employees of an agency contractor. Any party may be represented by an attorney, an authorized representative appointed pursuant to rule </w:t>
      </w:r>
      <w:hyperlink r:id="rId4">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 xml:space="preserve">(249A), an authorized representative appointed pursuant to subrule </w:t>
      </w:r>
      <w:hyperlink r:id="rId5">
        <w:r>
          <w:rPr>
            <w:rStyle w:val="Hyperlink"/>
            <w:rFonts w:ascii="Times New Roman" w:hAnsi="Times New Roman"/>
            <w:b w:val="false"/>
            <w:i w:val="false"/>
            <w:color w:val="000000"/>
            <w:sz w:val="22"/>
          </w:rPr>
          <w:t>2506.20(8)</w:t>
        </w:r>
      </w:hyperlink>
      <w:r>
        <w:rPr>
          <w:rFonts w:ascii="Times New Roman" w:hAnsi="Times New Roman"/>
          <w:b w:val="false"/>
          <w:i w:val="false"/>
          <w:color w:val="000000"/>
          <w:sz w:val="22"/>
        </w:rPr>
        <w:t xml:space="preserve">, or another person authorized by law. An attorney admitted pro hoc vice in accordance with Iowa Court Rules to practice in an agency administrative action in accordance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is obligated to have an in-state attorney present at every interaction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2506.20(8)</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Regulations. The provisions of this subrule only apply to the extent the standards expressed in this subrule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Designation of authority. Legally recognized delegations of authority, such as guardianships, applicable designations of power of attorney, or similar designations, shall be sufficient for a delegate to serve as authorized representative under this chapter. A person who is not designated a legally recognized delegation of authority but who otherwise seeks to act as an authorized representative for a person in an appeal under this chapter shall provide a written, signed designation of authority to the agency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designation. For a person other than an attorney seeking to act as an authorized representative of a party-in-interest in a Medicaid managed care appeal, the authorized representative’s written designation of authority pursuant to paragraph </w:t>
      </w:r>
      <w:hyperlink r:id="rId6">
        <w:r>
          <w:rPr>
            <w:rStyle w:val="Hyperlink"/>
            <w:rFonts w:ascii="Times New Roman" w:hAnsi="Times New Roman"/>
            <w:b w:val="false"/>
            <w:i w:val="false"/>
            <w:color w:val="000000"/>
            <w:sz w:val="22"/>
          </w:rPr>
          <w:t>2506.20(8)</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on an authorized representative form prescribed by the agency. This form is required for all managed care appeals, including those handled through the expedited appeals process. Failure to provide the form or legal documentation may result in denial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2506.20(9)</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chapter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2506.20(10)</w:t>
      </w:r>
      <w:r>
        <w:rPr>
          <w:rFonts w:ascii="Times New Roman" w:hAnsi="Times New Roman"/>
          <w:b w:val="false"/>
          <w:i w:val="false"/>
          <w:color w:val="000000"/>
          <w:sz w:val="22"/>
        </w:rPr>
        <w:t> </w:t>
      </w:r>
      <w:r>
        <w:rPr>
          <w:rFonts w:ascii="Times New Roman" w:hAnsi="Times New Roman"/>
          <w:b w:val="false"/>
          <w:i/>
          <w:color w:val="000000"/>
          <w:sz w:val="22"/>
        </w:rPr>
        <w:t xml:space="preserve">Closed to public. </w:t>
      </w:r>
      <w:r>
        <w:rPr>
          <w:rFonts w:ascii="Times New Roman" w:hAnsi="Times New Roman"/>
          <w:b w:val="false"/>
          <w:i w:val="false"/>
          <w:color w:val="000000"/>
          <w:sz w:val="22"/>
        </w:rPr>
        <w:t>Contested case hearings are closed to the public, and unless otherwise provided by state or federal law, only the parties, their representatives, permissible intervenors, and witnesses may be present for a contested case hearing in the absence of mutual agreement of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9.pdf" Type="http://schemas.openxmlformats.org/officeDocument/2006/relationships/hyperlink" Id="rId4"/>
    <Relationship TargetMode="External" Target="https://www.legis.iowa.gov/docs/iac/rule/441.2506.20.pdf" Type="http://schemas.openxmlformats.org/officeDocument/2006/relationships/hyperlink" Id="rId5"/>
    <Relationship TargetMode="External" Target="https://www.legis.iowa.gov/docs/iac/rule/441.2506.2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