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appeals. </w:t>
      </w:r>
      <w:r>
        <w:rPr>
          <w:rFonts w:ascii="Times New Roman" w:hAnsi="Times New Roman"/>
          <w:b w:val="false"/>
          <w:i w:val="false"/>
          <w:color w:val="000000"/>
          <w:sz w:val="22"/>
        </w:rPr>
        <w:t xml:space="preserve">Notwithstanding subrule </w:t>
      </w:r>
      <w:hyperlink r:id="rId4">
        <w:r>
          <w:rPr>
            <w:rStyle w:val="Hyperlink"/>
            <w:rFonts w:ascii="Times New Roman" w:hAnsi="Times New Roman"/>
            <w:b w:val="false"/>
            <w:i w:val="false"/>
            <w:color w:val="000000"/>
            <w:sz w:val="22"/>
          </w:rPr>
          <w:t>2506.10(1)</w:t>
        </w:r>
      </w:hyperlink>
      <w:r>
        <w:rPr>
          <w:rFonts w:ascii="Times New Roman" w:hAnsi="Times New Roman"/>
          <w:b w:val="false"/>
          <w:i w:val="false"/>
          <w:color w:val="000000"/>
          <w:sz w:val="22"/>
        </w:rPr>
        <w:t>, for Medicaid member appeals, the agency and the presiding officer acting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respond to a series of individual requests for hearing by conducting a single group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consolidate hearings only in cases in which the sole issue involved is one of federal or state law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Must follow the policies of 42 CFR, Chapter IV, Subchapter C, Part 431, Subpart 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Must permit each person to present the individual’s own case or be represented by the individual’s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w:t>
      </w:r>
      <w:r>
        <w:rPr>
          <w:rFonts w:ascii="Times New Roman" w:hAnsi="Times New Roman"/>
          <w:b w:val="false"/>
          <w:i w:val="false"/>
          <w:color w:val="000000"/>
          <w:sz w:val="22"/>
        </w:rPr>
        <w:t> </w:t>
      </w:r>
      <w:r>
        <w:rPr>
          <w:rFonts w:ascii="Times New Roman" w:hAnsi="Times New Roman"/>
          <w:b w:val="false"/>
          <w:i/>
          <w:color w:val="000000"/>
          <w:sz w:val="22"/>
        </w:rPr>
        <w:t xml:space="preserve">SNAP appeals. </w:t>
      </w:r>
      <w:r>
        <w:rPr>
          <w:rFonts w:ascii="Times New Roman" w:hAnsi="Times New Roman"/>
          <w:b w:val="false"/>
          <w:i w:val="false"/>
          <w:color w:val="000000"/>
          <w:sz w:val="22"/>
        </w:rPr>
        <w:t>The agency may respond to a series of individual requests for hearings by conducting a single group hearing. The agency may consolidate only cases where individual issues of fact are not disputed and where related issues of state or federal law, regulation, or policy are the sole issues being raised. In all group hearings, the regulations governing individual hearings must be followed. Each individual household shall be permitted to present its own case or have its case presented by a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506.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