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441—2505.7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2505.7(1)</w:t>
      </w:r>
      <w:r>
        <w:rPr>
          <w:rFonts w:ascii="Times New Roman" w:hAnsi="Times New Roman"/>
          <w:b w:val="false"/>
          <w:i w:val="false"/>
          <w:color w:val="000000"/>
          <w:sz w:val="22"/>
        </w:rPr>
        <w:t> </w:t>
      </w:r>
      <w:r>
        <w:rPr>
          <w:rFonts w:ascii="Times New Roman" w:hAnsi="Times New Roman"/>
          <w:b w:val="false"/>
          <w:i w:val="false"/>
          <w:color w:val="000000"/>
          <w:sz w:val="22"/>
        </w:rPr>
        <w:t>The agency shall include provisions for disclosures of confidential information consistent with the Health Insurance Portability and Accountability Act of 1996 (HIPAA) and any applicable state or federal law as amended to July 1, 2026,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Disclosures requiring opportunity to agree or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Disclosures when an individual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Disaster relief disclosures;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Routine disclosures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Internal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Contractors and agents working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Judicial or administrative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Medicaid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Research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2505.7(2)</w:t>
      </w:r>
      <w:r>
        <w:rPr>
          <w:rFonts w:ascii="Times New Roman" w:hAnsi="Times New Roman"/>
          <w:b w:val="false"/>
          <w:i w:val="false"/>
          <w:color w:val="000000"/>
          <w:sz w:val="22"/>
        </w:rPr>
        <w:t> </w:t>
      </w:r>
      <w:r>
        <w:rPr>
          <w:rFonts w:ascii="Times New Roman" w:hAnsi="Times New Roman"/>
          <w:b w:val="false"/>
          <w:i w:val="false"/>
          <w:color w:val="000000"/>
          <w:sz w:val="22"/>
        </w:rPr>
        <w:t>Additionally, the agency shall maintain written policies for general uses and disclosures of PHI for treatment, payment, and health care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