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val="false"/>
          <w:color w:val="000000"/>
          <w:sz w:val="22"/>
        </w:rPr>
        <w:t>The agency shall also allow individuals to request restrictions on the use or disclosure of PHI and alternative means of confidential communication, consistent with 45 CFR §164.522 as amended to July 1, 2026. The agency will maintain written procedures for processing such requests and document any granted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