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441—124.6</w:t>
      </w:r>
      <w:r>
        <w:rPr>
          <w:rFonts w:ascii="Times New Roman" w:hAnsi="Times New Roman"/>
          <w:b/>
          <w:i w:val="false"/>
          <w:color w:val="000000"/>
          <w:sz w:val="22"/>
        </w:rPr>
        <w:t xml:space="preserve">(135) </w:t>
      </w:r>
      <w:r>
        <w:rPr>
          <w:rFonts w:ascii="Times New Roman" w:hAnsi="Times New Roman"/>
          <w:b/>
          <w:i w:val="false"/>
          <w:color w:val="000000"/>
          <w:sz w:val="22"/>
        </w:rPr>
        <w:t xml:space="preserve">PET services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standards are measures of some of those criteria in Iowa Code section </w:t>
      </w:r>
      <w:hyperlink r:id="rId4">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Criteria that are measured by a standard are cited in parentheses following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need applications that are to be evaluated against these standards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Proposals to commence or expand the capacity of positron emission tomography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Proposals to replace a positron emission tomography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applications that relate to positron emission tomography.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terms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w:t>
      </w:r>
      <w:r>
        <w:rPr>
          <w:rFonts w:ascii="Times New Roman" w:hAnsi="Times New Roman"/>
          <w:b w:val="false"/>
          <w:i w:val="false"/>
          <w:color w:val="000000"/>
          <w:sz w:val="22"/>
        </w:rPr>
        <w:t> </w:t>
      </w:r>
      <w:r>
        <w:rPr>
          <w:rFonts w:ascii="Times New Roman" w:hAnsi="Times New Roman"/>
          <w:b w:val="false"/>
          <w:i w:val="false"/>
          <w:color w:val="000000"/>
          <w:sz w:val="22"/>
        </w:rPr>
        <w:t>means the community or a metropolitan statistical area (as defined by the U.S. Office of Management and Budget and used by the U.S. Census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a cross-sectional image of the structures in a body plane is reconstructed by a computer program from the X-ray absorption of beams projected through the body in the image plane.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“Cyclotron”</w:t>
      </w:r>
      <w:r>
        <w:rPr>
          <w:rFonts w:ascii="Times New Roman" w:hAnsi="Times New Roman"/>
          <w:b w:val="false"/>
          <w:i w:val="false"/>
          <w:color w:val="000000"/>
          <w:sz w:val="22"/>
        </w:rPr>
        <w:t> </w:t>
      </w:r>
      <w:r>
        <w:rPr>
          <w:rFonts w:ascii="Times New Roman" w:hAnsi="Times New Roman"/>
          <w:b w:val="false"/>
          <w:i w:val="false"/>
          <w:color w:val="000000"/>
          <w:sz w:val="22"/>
        </w:rPr>
        <w:t>means an apparatus for accelerating protons or neutrons to high energies by means of a constant magnet and an oscillating electric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“Magnetic resonance imaging”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“MRI”</w:t>
      </w:r>
      <w:r>
        <w:rPr>
          <w:rFonts w:ascii="Times New Roman" w:hAnsi="Times New Roman"/>
          <w:b w:val="false"/>
          <w:i w:val="false"/>
          <w:color w:val="000000"/>
          <w:sz w:val="22"/>
        </w:rPr>
        <w:t> </w:t>
      </w:r>
      <w:r>
        <w:rPr>
          <w:rFonts w:ascii="Times New Roman" w:hAnsi="Times New Roman"/>
          <w:b w:val="false"/>
          <w:i w:val="false"/>
          <w:color w:val="000000"/>
          <w:sz w:val="22"/>
        </w:rPr>
        <w:t>means a diagnostic modality that employs a combination of magnetic and radio frequency fields and computers to produce images of body organs and tissues.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 procedure”</w:t>
      </w:r>
      <w:r>
        <w:rPr>
          <w:rFonts w:ascii="Times New Roman" w:hAnsi="Times New Roman"/>
          <w:b w:val="false"/>
          <w:i w:val="false"/>
          <w:color w:val="000000"/>
          <w:sz w:val="22"/>
        </w:rPr>
        <w:t> </w:t>
      </w:r>
      <w:r>
        <w:rPr>
          <w:rFonts w:ascii="Times New Roman" w:hAnsi="Times New Roman"/>
          <w:b w:val="false"/>
          <w:i w:val="false"/>
          <w:color w:val="000000"/>
          <w:sz w:val="22"/>
        </w:rPr>
        <w:t>means an image-scanning sequence derived from a single administration of PET, equated with a single injection of the tracer.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“Positron emission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“PET”</w:t>
      </w:r>
      <w:r>
        <w:rPr>
          <w:rFonts w:ascii="Times New Roman" w:hAnsi="Times New Roman"/>
          <w:b w:val="false"/>
          <w:i w:val="false"/>
          <w:color w:val="000000"/>
          <w:sz w:val="22"/>
        </w:rPr>
        <w:t> </w:t>
      </w:r>
      <w:r>
        <w:rPr>
          <w:rFonts w:ascii="Times New Roman" w:hAnsi="Times New Roman"/>
          <w:b w:val="false"/>
          <w:i w:val="false"/>
          <w:color w:val="000000"/>
          <w:sz w:val="22"/>
        </w:rPr>
        <w:t>means an imaging method in which positron-emitting radionuclides, which are produced either by a cyclotron or generator, and a nuclear camera are used to create pictures of organ function rather than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“Radiopharmaceutical”</w:t>
      </w:r>
      <w:r>
        <w:rPr>
          <w:rFonts w:ascii="Times New Roman" w:hAnsi="Times New Roman"/>
          <w:b w:val="false"/>
          <w:i w:val="false"/>
          <w:color w:val="000000"/>
          <w:sz w:val="22"/>
        </w:rPr>
        <w:t> </w:t>
      </w:r>
      <w:r>
        <w:rPr>
          <w:rFonts w:ascii="Times New Roman" w:hAnsi="Times New Roman"/>
          <w:b w:val="false"/>
          <w:i w:val="false"/>
          <w:color w:val="000000"/>
          <w:sz w:val="22"/>
        </w:rPr>
        <w:t>means a radioactive pharmaceutical used for diagnostic 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photon emission 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“SPECT”</w:t>
      </w:r>
      <w:r>
        <w:rPr>
          <w:rFonts w:ascii="Times New Roman" w:hAnsi="Times New Roman"/>
          <w:b w:val="false"/>
          <w:i w:val="false"/>
          <w:color w:val="000000"/>
          <w:sz w:val="22"/>
        </w:rPr>
        <w:t> </w:t>
      </w:r>
      <w:r>
        <w:rPr>
          <w:rFonts w:ascii="Times New Roman" w:hAnsi="Times New Roman"/>
          <w:b w:val="false"/>
          <w:i w:val="false"/>
          <w:color w:val="000000"/>
          <w:sz w:val="22"/>
        </w:rPr>
        <w:t>means a camera-based imaging system using the radionuclides in the routine practice of nuclear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124.6(3)</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need.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no other PET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a reasonable potential utilization of a PET unit based on diversified inpatient and outpatient case mix thresholds,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Intracranial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brain tumors: 50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Metastasis: 100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Cerebral vascular disease: 200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Organic brain disease and dementia/psychiatric diagnoses (including epilepsy-seizure disorders): 500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Spinal: 100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Cardiovascular cases.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Ischemic heart disease (including acute and chronic infarction): 1,200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Neoplasms (head, neck, thorax (excluding heart), abdomen, pelvic, prostate and musculoskeletal): 1,300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should have other diagnostic capabilities, on-site or through referral arrangements, with appropriate volumes including:</w:t>
      </w:r>
    </w:p>
    <w:tbl>
      <w:tblPr>
        <w:tblW w:w="0" w:type="auto"/>
        <w:tblCellSpacing w:w="0" w:type="auto"/>
        <w:tblBorders>
          <w:top w:val="none"/>
          <w:left w:val="none"/>
          <w:bottom w:val="none"/>
          <w:right w:val="none"/>
          <w:insideH w:val="none"/>
          <w:insideV w:val="none"/>
        </w:tblBorders>
        <w:tblLayout w:type="fixed"/>
      </w:tblPr>
      <w:tblGrid>
        <w:gridCol w:w="7803"/>
        <w:gridCol w:w="3387"/>
      </w:tblGrid>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Proposed Threshold</w:t>
            </w:r>
          </w:p>
        </w:tc>
      </w:tr>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Nuclear medicine imaging services</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5,600</w:t>
            </w:r>
          </w:p>
        </w:tc>
      </w:tr>
      <w:tr>
        <w:trPr>
          <w:trHeight w:val="480"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Single photon emission computed tomography </w:t>
            </w:r>
            <w:r>
              <w:br/>
            </w:r>
            <w:r>
              <w:rPr>
                <w:rFonts w:ascii="Times New Roman" w:hAnsi="Times New Roman"/>
                <w:b w:val="false"/>
                <w:i w:val="false"/>
                <w:color w:val="000000"/>
                <w:sz w:val="20"/>
              </w:rPr>
              <w:t>   (including brain, bone, liver, gallium and thallium stress)</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1,600</w:t>
            </w:r>
          </w:p>
        </w:tc>
      </w:tr>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CT</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8,000</w:t>
            </w:r>
          </w:p>
        </w:tc>
      </w:tr>
      <w:tr>
        <w:trPr>
          <w:trHeight w:val="255" w:hRule="atLeast"/>
        </w:trPr>
        <w:tc>
          <w:tcPr>
            <w:tcW w:w="78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MRI</w:t>
            </w:r>
          </w:p>
        </w:tc>
        <w:tc>
          <w:tcPr>
            <w:tcW w:w="338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2,400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secondary and tertiary service capability, on-site or through referral arrangements, including cardiac surgery, cardiology, internal medicine, general surgery, hematology/oncology, neurology, pathology, thoracic surgery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in an area with one or more PET units currently in operation or approved by the certificate of need program for operation.</w:t>
      </w:r>
    </w:p>
    <w:p>
      <w:pPr>
        <w:spacing w:before="0" w:after="0"/>
        <w:ind w:left="120"/>
        <w:jc w:val="both"/>
      </w:pPr>
      <w:r>
        <w:rPr>
          <w:rFonts w:ascii="Times New Roman" w:hAnsi="Times New Roman"/>
          <w:b w:val="false"/>
          <w:i w:val="false"/>
          <w:color w:val="000000"/>
          <w:sz w:val="22"/>
        </w:rPr>
        <w:t xml:space="preserve">Existing PET units within the area (whether basic or enhanced) should have been operating at a minimum of 1,000 PET procedures during the most recent annual period as reported to the certificate of need program according to paragraph </w:t>
      </w:r>
      <w:hyperlink r:id="rId6">
        <w:r>
          <w:rPr>
            <w:rStyle w:val="Hyperlink"/>
            <w:rFonts w:ascii="Times New Roman" w:hAnsi="Times New Roman"/>
            <w:b w:val="false"/>
            <w:i w:val="false"/>
            <w:color w:val="000000"/>
            <w:sz w:val="22"/>
          </w:rPr>
          <w:t>124.6(4)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124.6(4)</w:t>
      </w:r>
      <w:r>
        <w:rPr>
          <w:rFonts w:ascii="Times New Roman" w:hAnsi="Times New Roman"/>
          <w:b w:val="false"/>
          <w:i w:val="false"/>
          <w:color w:val="000000"/>
          <w:sz w:val="22"/>
        </w:rPr>
        <w:t> </w:t>
      </w:r>
      <w:r>
        <w:rPr>
          <w:rFonts w:ascii="Times New Roman" w:hAnsi="Times New Roman"/>
          <w:b w:val="false"/>
          <w:i/>
          <w:color w:val="000000"/>
          <w:sz w:val="22"/>
        </w:rPr>
        <w:t xml:space="preserve">Quality and continuity.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proposed PET unit should function as a component of a comprehensive inpatient or outpatient diagnostic service. The proposed PET unit should have the following modalities (and capabilities) on-site or through referral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MRI.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Nuclear medicine—cardiac, 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Conventional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proposed PET unit should be located in a facility that has, either in-house or through referral arrangement, the resources necessary to treat most of the conditions diagnosed or confirmed by PET. The following medical specialties should be available during PET service hours on-site or by referral arrangements: cardiology, neurology, neurosurgery, oncology, and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proposal to provide new or expanded PET must include satisfactory assurances that services will be offered in a physical environment that conforms to federal standards, manufacturer’s specifications, and licensing agencies’ requirements. The following areas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radiopharmaceutical production of generator- or cyclotron-produced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Quality control and assurance of PET tomograph and associated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and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Radioactive emissions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evidence that the proposed PET equipment has been certified for clinical use by the U.S. Food and Drug Administration or will be operated under the approval and authority of an institutional review board whose membership is consistent with U.S. Department of Health and Human Services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for PET will document that the necessary qualified staff are available to operate the proposed unit. The applicant will document the PET training and experience of the staff. The following minimum staff will be available to the PET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or more nuclear medicine imaging physician(s) available to the PET unit who have been licensed by the state for the handling of medical radionuclides and whose primary responsibility for at least a one-year period prior to submission of the certificate of need application has been in acquisition and interpretation of tomographic images. This individual shall have knowledge of PET through training, experience, or documented postgraduate education. The individual shall also have training with a functional PET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PET radiochemist or radiopharmacist personnel available to the facility during PET service hours with at least one year of training. The individual(s) will demonstrate experience in the testing of chemical, radiochemical, and radionuclidic purity of PET radiopharmaceutical syntheses.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Qualified engineering and physics personnel available to the facility during PET service hours with training and experience in the operation and maintenance of the PET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Qualified radiation safety personnel available to the facility at all times with training and experience in the handling of short-lived positron-emitting 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nuclear medicine technologists with expertise in computed tomographic nuclear medicine imaging procedures at a staffing level consistent with the proposed center’s expected PET service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appropriate personnel should be available during PET service hours, which may include certified nuclear medicine technologists, computer programmers, nurses, and radiochemistry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will demonstrate how emergencies within the PET unit will be managed in conformity with accepted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acceptability.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 facility should have adequate scheduled hours to avoid an excessive backlog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of patients for clinical PET studies will guarantee equal access to all persons regardless of insurance coverage or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accepting patients from participating institutions, a facility performing clinical PET procedures should accept appropriate referrals from other local providers. These patients will be accommodated to the extent possible by extending the hours of service and by prioritizing patients according to standards of need and appropriateness rather than source of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124.6(6)</w:t>
      </w:r>
      <w:r>
        <w:rPr>
          <w:rFonts w:ascii="Times New Roman" w:hAnsi="Times New Roman"/>
          <w:b w:val="false"/>
          <w:i w:val="false"/>
          <w:color w:val="000000"/>
          <w:sz w:val="22"/>
        </w:rPr>
        <w:t> </w:t>
      </w:r>
      <w:r>
        <w:rPr>
          <w:rFonts w:ascii="Times New Roman" w:hAnsi="Times New Roman"/>
          <w:b w:val="false"/>
          <w:i/>
          <w:color w:val="000000"/>
          <w:sz w:val="22"/>
        </w:rPr>
        <w:t xml:space="preserve">Costs and financial feasibility. </w:t>
      </w:r>
      <w:r>
        <w:rPr>
          <w:rFonts w:ascii="Times New Roman" w:hAnsi="Times New Roman"/>
          <w:b w:val="false"/>
          <w:i w:val="false"/>
          <w:color w:val="000000"/>
          <w:sz w:val="22"/>
        </w:rPr>
        <w:t xml:space="preserve">(Iowa Code section </w:t>
      </w:r>
      <w:hyperlink r:id="rId9">
        <w:r>
          <w:rPr>
            <w:rStyle w:val="Hyperlink"/>
            <w:rFonts w:ascii="Times New Roman" w:hAnsi="Times New Roman"/>
            <w:b w:val="false"/>
            <w:i w:val="false"/>
            <w:color w:val="000000"/>
            <w:sz w:val="22"/>
          </w:rPr>
          <w:t>135.63(1)</w:t>
        </w:r>
      </w:hyperlink>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identify capital and operating costs associated with a proposed PET unit, identify sources of funding to cover those costs, and demonstrate that the project is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budgets for the first three years of operation, including documentation and justification of all assumptions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will document its projected average cost per procedure and charge per procedure for the first three years. Charges for PET should be reasonably related to service cost and comparable to PET charges at other facilities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should verify whether the service is eligible for reimbursement by public and private third-party 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should demonstrate that alternatives were considered and the proposed application is the most cost-effective and should accomplish the goals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3.pdf" Type="http://schemas.openxmlformats.org/officeDocument/2006/relationships/hyperlink" Id="rId4"/>
    <Relationship TargetMode="External" Target="https://www.legis.iowa.gov/docs/ico/chapter/135.63.pdf" Type="http://schemas.openxmlformats.org/officeDocument/2006/relationships/hyperlink" Id="rId5"/>
    <Relationship TargetMode="External" Target="https://www.legis.iowa.gov/docs/iac/rule/441.124.6.pdf" Type="http://schemas.openxmlformats.org/officeDocument/2006/relationships/hyperlink" Id="rId6"/>
    <Relationship TargetMode="External" Target="https://www.legis.iowa.gov/docs/ico/chapter/135.63.pdf" Type="http://schemas.openxmlformats.org/officeDocument/2006/relationships/hyperlink" Id="rId7"/>
    <Relationship TargetMode="External" Target="https://www.legis.iowa.gov/docs/ico/chapter/135.63.pdf" Type="http://schemas.openxmlformats.org/officeDocument/2006/relationships/hyperlink" Id="rId8"/>
    <Relationship TargetMode="External" Target="https://www.legis.iowa.gov/docs/ico/chapter/135.6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