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441—124.4</w:t>
      </w:r>
      <w:r>
        <w:rPr>
          <w:rFonts w:ascii="Times New Roman" w:hAnsi="Times New Roman"/>
          <w:b/>
          <w:i w:val="false"/>
          <w:color w:val="000000"/>
          <w:sz w:val="22"/>
        </w:rPr>
        <w:t xml:space="preserve">(135) </w:t>
      </w:r>
      <w:r>
        <w:rPr>
          <w:rFonts w:ascii="Times New Roman" w:hAnsi="Times New Roman"/>
          <w:b/>
          <w:i w:val="false"/>
          <w:color w:val="000000"/>
          <w:sz w:val="22"/>
        </w:rPr>
        <w:t xml:space="preserve">Long-term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criteria found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 applications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 develop, offer new, modernize, replace, renovate, or relocate intermediate care or skilled nursing care beds in nursing homes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Expand bed capacity in intermediate care or skilled nursing care facilities or designated units in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“ICF”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“SNF”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formula will be used as a means of projecting the approximate number of beds needed by level of care (intermediate or skilled nursing care) to serve the projected population one year into the future using county-level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County-level bed need = County-level bed-days / days in time period</w:t>
      </w:r>
    </w:p>
    <w:p>
      <w:pPr>
        <w:spacing w:before="0" w:after="0"/>
        <w:ind w:left="120"/>
        <w:jc w:val="both"/>
      </w:pPr>
      <w:r>
        <w:rPr>
          <w:rFonts w:ascii="Times New Roman" w:hAnsi="Times New Roman"/>
          <w:b w:val="false"/>
          <w:i w:val="false"/>
          <w:color w:val="000000"/>
          <w:sz w:val="22"/>
        </w:rPr>
        <w:t>County-level bed-days = exp(Linear Predictor)</w:t>
      </w:r>
    </w:p>
    <w:p>
      <w:pPr>
        <w:spacing w:before="0" w:after="0"/>
        <w:ind w:left="120"/>
        <w:jc w:val="both"/>
      </w:pPr>
      <w:r>
        <w:rPr>
          <w:rFonts w:ascii="Times New Roman" w:hAnsi="Times New Roman"/>
          <w:b w:val="false"/>
          <w:i w:val="false"/>
          <w:color w:val="000000"/>
          <w:sz w:val="22"/>
        </w:rPr>
        <w:t>Linear Predictor = Intercept</w:t>
      </w:r>
    </w:p>
    <w:p>
      <w:pPr>
        <w:spacing w:before="0" w:after="0"/>
        <w:ind w:left="120"/>
        <w:jc w:val="both"/>
      </w:pPr>
      <w:r>
        <w:rPr>
          <w:rFonts w:ascii="Times New Roman" w:hAnsi="Times New Roman"/>
          <w:b w:val="false"/>
          <w:i w:val="false"/>
          <w:color w:val="000000"/>
          <w:sz w:val="22"/>
        </w:rPr>
        <w:t>+ Weight for Log of Total Population × Log of Total Population</w:t>
      </w:r>
    </w:p>
    <w:p>
      <w:pPr>
        <w:spacing w:before="0" w:after="0"/>
        <w:ind w:left="120"/>
        <w:jc w:val="both"/>
      </w:pPr>
      <w:r>
        <w:rPr>
          <w:rFonts w:ascii="Times New Roman" w:hAnsi="Times New Roman"/>
          <w:b w:val="false"/>
          <w:i w:val="false"/>
          <w:color w:val="000000"/>
          <w:sz w:val="22"/>
        </w:rPr>
        <w:t>+ Weight for Percent age 65-74 × Percent age 65-74</w:t>
      </w:r>
    </w:p>
    <w:p>
      <w:pPr>
        <w:spacing w:before="0" w:after="0"/>
        <w:ind w:left="120"/>
        <w:jc w:val="both"/>
      </w:pPr>
      <w:r>
        <w:rPr>
          <w:rFonts w:ascii="Times New Roman" w:hAnsi="Times New Roman"/>
          <w:b w:val="false"/>
          <w:i w:val="false"/>
          <w:color w:val="000000"/>
          <w:sz w:val="22"/>
        </w:rPr>
        <w:t>+ Weight for Percent age 75-84 × Percent age 75-84</w:t>
      </w:r>
    </w:p>
    <w:p>
      <w:pPr>
        <w:spacing w:before="0" w:after="0"/>
        <w:ind w:left="120"/>
        <w:jc w:val="both"/>
      </w:pPr>
      <w:r>
        <w:rPr>
          <w:rFonts w:ascii="Times New Roman" w:hAnsi="Times New Roman"/>
          <w:b w:val="false"/>
          <w:i w:val="false"/>
          <w:color w:val="000000"/>
          <w:sz w:val="22"/>
        </w:rPr>
        <w:t>+ Weight for Percent age 85 plus × Percent age 85 plus</w:t>
      </w:r>
    </w:p>
    <w:p>
      <w:pPr>
        <w:spacing w:before="0" w:after="0"/>
        <w:ind w:left="120"/>
        <w:jc w:val="both"/>
      </w:pPr>
      <w:r>
        <w:rPr>
          <w:rFonts w:ascii="Times New Roman" w:hAnsi="Times New Roman"/>
          <w:b w:val="false"/>
          <w:i w:val="false"/>
          <w:color w:val="000000"/>
          <w:sz w:val="22"/>
        </w:rPr>
        <w:t>+ Weight for Level of care × Level of care</w:t>
      </w:r>
    </w:p>
    <w:p>
      <w:pPr>
        <w:spacing w:before="0" w:after="0"/>
        <w:ind w:left="120"/>
        <w:jc w:val="both"/>
      </w:pPr>
      <w:r>
        <w:rPr>
          <w:rFonts w:ascii="Times New Roman" w:hAnsi="Times New Roman"/>
          <w:b w:val="false"/>
          <w:i w:val="false"/>
          <w:color w:val="000000"/>
          <w:sz w:val="22"/>
        </w:rPr>
        <w:t>+ Weight for Time Trend × Time Trend</w:t>
      </w:r>
    </w:p>
    <w:p>
      <w:pPr>
        <w:spacing w:before="0" w:after="0"/>
        <w:ind w:left="120"/>
        <w:jc w:val="both"/>
      </w:pPr>
      <w:r>
        <w:rPr>
          <w:rFonts w:ascii="Times New Roman" w:hAnsi="Times New Roman"/>
          <w:b w:val="false"/>
          <w:i w:val="false"/>
          <w:color w:val="000000"/>
          <w:sz w:val="22"/>
        </w:rPr>
        <w:t>+ Weight for Level of care × Time Trend × Level of care × Time Trend</w:t>
      </w:r>
    </w:p>
    <w:p>
      <w:pPr>
        <w:spacing w:before="0" w:after="0"/>
        <w:ind w:left="120"/>
        <w:jc w:val="both"/>
      </w:pPr>
      <w:r>
        <w:rPr>
          <w:rFonts w:ascii="Times New Roman" w:hAnsi="Times New Roman"/>
          <w:b w:val="false"/>
          <w:i w:val="false"/>
          <w:color w:val="000000"/>
          <w:sz w:val="22"/>
        </w:rPr>
        <w:t>+ Month effect for applicable month</w:t>
      </w:r>
    </w:p>
    <w:p>
      <w:pPr>
        <w:spacing w:before="0" w:after="0"/>
        <w:ind w:left="120"/>
        <w:jc w:val="both"/>
      </w:pPr>
      <w:r>
        <w:rPr>
          <w:rFonts w:ascii="Times New Roman" w:hAnsi="Times New Roman"/>
          <w:b w:val="false"/>
          <w:i w:val="false"/>
          <w:color w:val="000000"/>
          <w:sz w:val="22"/>
        </w:rPr>
        <w:t>+ County effect for applicable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using this formula, the lower and upper bounds of the weights for each variable in this section can be found on the department’s website at </w:t>
      </w:r>
      <w:hyperlink r:id="rId6">
        <w:r>
          <w:rPr>
            <w:rStyle w:val="Hyperlink"/>
            <w:rFonts w:ascii="Times New Roman" w:hAnsi="Times New Roman"/>
            <w:b w:val="false"/>
            <w:i w:val="false"/>
            <w:color w:val="000000"/>
            <w:sz w:val="22"/>
            <w:u w:val="single"/>
          </w:rPr>
          <w:t>hhs.iowa.gov/certificate-need-con-program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Bed need formula projections will consider county of facility, seasonal variation in need, age range of population, future population change projections, and other relevant factors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bed need formula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“need” to “existing” beds in a given county, the following shall be considered in the calculation of “existing”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ICF and SNF beds licensed at freestanding facilities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ICF and SNF beds previously approved through certificate of need but not yet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ICF and SNF beds in designated units in hospitals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statistical calculation of bed need shall serve as a guideline for the department in reviewing need for the proposed long-term care beds. Other factors that may be considered by the department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ICF and SNF services in the county or within an applicant’s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long-term care services in nearby hospitals, such as skilled care available through the swing bed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supportive living arrangements that may or may not be licensed as an RCF.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home health and other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services to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availability of ICF and SNF services in neighboring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by out-of-state residents of facilities in counties bordering other states, where an applicant provides evidence that in-migration of long-term care patients exceeds out-migration to the bordering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Programs and services directed at special populations whose needs cannot otherwise be met or whose needs cannot be met cost-effectively at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documenting need for a project, an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124.4(4)</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An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124.4(5)</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should be capable of providing or arranging for the provision of a comprehensive program of coordinated patient services. An applicant shall provide evidence of contracts for services, appropriate staffing patterns and ratios, and licensure of personnel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124.4(6)</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document to what extent Medicaid patients will be served by the proposed beds, using past Medicaid utilization as an indicator or, in the case of a new facility, projecting anticipated Medicaid utilization.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124.4(7)</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identify capital and operating costs associated with the project,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costs shall be in line with construction costs of other similar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charges per patient day should be justifiable when compared to current charges of other similarly licensed facilities in an applicant’s service area or other similar facilities elsewhere in the state. If charges are significantly higher or lower, the applicant shall provide a description of proposed programs or services that explain the difference in charges.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hhs.iowa.gov/certificate-need-con-program"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Mode="External" Target="https://www.legis.iowa.gov/docs/ico/chapter/135.63.pdf" Type="http://schemas.openxmlformats.org/officeDocument/2006/relationships/hyperlink" Id="rId10"/>
    <Relationship TargetMode="External" Target="https://www.legis.iowa.gov/docs/ico/chapter/135.7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