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441—124.3</w:t>
      </w:r>
      <w:r>
        <w:rPr>
          <w:rFonts w:ascii="Times New Roman" w:hAnsi="Times New Roman"/>
          <w:b/>
          <w:i w:val="false"/>
          <w:color w:val="000000"/>
          <w:sz w:val="22"/>
        </w:rPr>
        <w:t xml:space="preserve">(135) </w:t>
      </w:r>
      <w:r>
        <w:rPr>
          <w:rFonts w:ascii="Times New Roman" w:hAnsi="Times New Roman"/>
          <w:b/>
          <w:i w:val="false"/>
          <w:color w:val="000000"/>
          <w:sz w:val="22"/>
        </w:rPr>
        <w:t xml:space="preserve">Computerized tomography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“l.”</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computerized tomography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oncology service”</w:t>
      </w:r>
      <w:r>
        <w:rPr>
          <w:rFonts w:ascii="Times New Roman" w:hAnsi="Times New Roman"/>
          <w:b w:val="false"/>
          <w:i w:val="false"/>
          <w:color w:val="000000"/>
          <w:sz w:val="22"/>
        </w:rPr>
        <w:t> </w:t>
      </w:r>
      <w:r>
        <w:rPr>
          <w:rFonts w:ascii="Times New Roman" w:hAnsi="Times New Roman"/>
          <w:b w:val="false"/>
          <w:i w:val="false"/>
          <w:color w:val="000000"/>
          <w:sz w:val="22"/>
        </w:rPr>
        <w:t>means full, multidisciplinary cancer care, provided by a medical team that would include: surgery, gynecology, medical oncology, radiation oncology, pathology, diagnostic radiology and nuclear medicine. The surgery specialties that might be available would include: thoracic, abdominal, genitourinary and gynecological. The active oncology staff would include those specialists with training in oncology, hematology, and pathology and who spend at least half of their time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facility or a consortium of facilities within an area or a physician or group of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“Chemotherapy service”</w:t>
      </w:r>
      <w:r>
        <w:rPr>
          <w:rFonts w:ascii="Times New Roman" w:hAnsi="Times New Roman"/>
          <w:b w:val="false"/>
          <w:i w:val="false"/>
          <w:color w:val="000000"/>
          <w:sz w:val="22"/>
        </w:rPr>
        <w:t> </w:t>
      </w:r>
      <w:r>
        <w:rPr>
          <w:rFonts w:ascii="Times New Roman" w:hAnsi="Times New Roman"/>
          <w:b w:val="false"/>
          <w:i w:val="false"/>
          <w:color w:val="000000"/>
          <w:sz w:val="22"/>
        </w:rPr>
        <w:t>means the treatment of cancer by chemical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“Computerized tomographic (CT) scanner”</w:t>
      </w:r>
      <w:r>
        <w:rPr>
          <w:rFonts w:ascii="Times New Roman" w:hAnsi="Times New Roman"/>
          <w:b w:val="false"/>
          <w:i w:val="false"/>
          <w:color w:val="000000"/>
          <w:sz w:val="22"/>
        </w:rPr>
        <w:t> </w:t>
      </w:r>
      <w:r>
        <w:rPr>
          <w:rFonts w:ascii="Times New Roman" w:hAnsi="Times New Roman"/>
          <w:b w:val="false"/>
          <w:i w:val="false"/>
          <w:color w:val="000000"/>
          <w:sz w:val="22"/>
        </w:rPr>
        <w:t>means a diagnostic tool that rotates around the body and that sends X-ray beams through the body or brain. The X-ray beams that emerge from the body or brain are absorbed by a detector. Differences in the amount of X-rays absorbed by the detector indicate differences in tissue density. As the scanner rotates, it takes many images of a volume or cross-section. The images on the detector are transmitted to a computer that displays on a monitor a reconstructed cross-sectional slice or volume. Contrast media is often injected to alter absorption of the detector. If the scan is repeated, it is called enhancement. Studies of the heart, arteries and veins may be done with contrast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consortia”</w:t>
      </w:r>
      <w:r>
        <w:rPr>
          <w:rFonts w:ascii="Times New Roman" w:hAnsi="Times New Roman"/>
          <w:b w:val="false"/>
          <w:i w:val="false"/>
          <w:color w:val="000000"/>
          <w:sz w:val="22"/>
        </w:rPr>
        <w:t> </w:t>
      </w:r>
      <w:r>
        <w:rPr>
          <w:rFonts w:ascii="Times New Roman" w:hAnsi="Times New Roman"/>
          <w:b w:val="false"/>
          <w:i w:val="false"/>
          <w:color w:val="000000"/>
          <w:sz w:val="22"/>
        </w:rPr>
        <w:t>means a cooperative venture in which two or more institutions form a separate entity that is created for the purpose of owning, leasing, planning for, and maintaining the use of the scanner. Each facility in the consortium maintains its autonomy for all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 (EMS) level II trauma service”</w:t>
      </w:r>
      <w:r>
        <w:rPr>
          <w:rFonts w:ascii="Times New Roman" w:hAnsi="Times New Roman"/>
          <w:b w:val="false"/>
          <w:i w:val="false"/>
          <w:color w:val="000000"/>
          <w:sz w:val="22"/>
        </w:rPr>
        <w:t> </w:t>
      </w:r>
      <w:r>
        <w:rPr>
          <w:rFonts w:ascii="Times New Roman" w:hAnsi="Times New Roman"/>
          <w:b w:val="false"/>
          <w:i w:val="false"/>
          <w:color w:val="000000"/>
          <w:sz w:val="22"/>
        </w:rPr>
        <w:t>means the level of various services and staffing that qualify a facility to be designated by the department, using the facilities categorization criteria of such services that is in effect on the date of the enactment of this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“Enhanced scan”</w:t>
      </w:r>
      <w:r>
        <w:rPr>
          <w:rFonts w:ascii="Times New Roman" w:hAnsi="Times New Roman"/>
          <w:b w:val="false"/>
          <w:i w:val="false"/>
          <w:color w:val="000000"/>
          <w:sz w:val="22"/>
        </w:rPr>
        <w:t> </w:t>
      </w:r>
      <w:r>
        <w:rPr>
          <w:rFonts w:ascii="Times New Roman" w:hAnsi="Times New Roman"/>
          <w:b w:val="false"/>
          <w:i w:val="false"/>
          <w:color w:val="000000"/>
          <w:sz w:val="22"/>
        </w:rPr>
        <w:t>means a scan performed on a patient who has been administered a contrast medium so that specific organs or areas of the body will be displayed more distinctly on the scan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imaging procedures”</w:t>
      </w:r>
      <w:r>
        <w:rPr>
          <w:rFonts w:ascii="Times New Roman" w:hAnsi="Times New Roman"/>
          <w:b w:val="false"/>
          <w:i w:val="false"/>
          <w:color w:val="000000"/>
          <w:sz w:val="22"/>
        </w:rPr>
        <w:t> </w:t>
      </w:r>
      <w:r>
        <w:rPr>
          <w:rFonts w:ascii="Times New Roman" w:hAnsi="Times New Roman"/>
          <w:b w:val="false"/>
          <w:i w:val="false"/>
          <w:color w:val="000000"/>
          <w:sz w:val="22"/>
        </w:rPr>
        <w:t>means a radiological diagnostic procedure performed on an X-ray machine or similar radiological diagnostic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“Head scanner”</w:t>
      </w:r>
      <w:r>
        <w:rPr>
          <w:rFonts w:ascii="Times New Roman" w:hAnsi="Times New Roman"/>
          <w:b w:val="false"/>
          <w:i w:val="false"/>
          <w:color w:val="000000"/>
          <w:sz w:val="22"/>
        </w:rPr>
        <w:t> </w:t>
      </w:r>
      <w:r>
        <w:rPr>
          <w:rFonts w:ascii="Times New Roman" w:hAnsi="Times New Roman"/>
          <w:b w:val="false"/>
          <w:i w:val="false"/>
          <w:color w:val="000000"/>
          <w:sz w:val="22"/>
        </w:rPr>
        <w:t>means a scanner capable of imaging only the brain and structures adjacent to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shared-market area for a scanner”</w:t>
      </w:r>
      <w:r>
        <w:rPr>
          <w:rFonts w:ascii="Times New Roman" w:hAnsi="Times New Roman"/>
          <w:b w:val="false"/>
          <w:i w:val="false"/>
          <w:color w:val="000000"/>
          <w:sz w:val="22"/>
        </w:rPr>
        <w:t> </w:t>
      </w:r>
      <w:r>
        <w:rPr>
          <w:rFonts w:ascii="Times New Roman" w:hAnsi="Times New Roman"/>
          <w:b w:val="false"/>
          <w:i w:val="false"/>
          <w:color w:val="000000"/>
          <w:sz w:val="22"/>
        </w:rPr>
        <w:t>(hereafter referred to as “area”) means the smallest geographic area within which any scanner installation is judged to affect the utilization rate of any other scanner in the community (as defined by the U.S. Bureau of the Census) or a standard metropolitan statistical area (where an area is so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“Radiotherapy service”</w:t>
      </w:r>
      <w:r>
        <w:rPr>
          <w:rFonts w:ascii="Times New Roman" w:hAnsi="Times New Roman"/>
          <w:b w:val="false"/>
          <w:i w:val="false"/>
          <w:color w:val="000000"/>
          <w:sz w:val="22"/>
        </w:rPr>
        <w:t> </w:t>
      </w:r>
      <w:r>
        <w:rPr>
          <w:rFonts w:ascii="Times New Roman" w:hAnsi="Times New Roman"/>
          <w:b w:val="false"/>
          <w:i w:val="false"/>
          <w:color w:val="000000"/>
          <w:sz w:val="22"/>
        </w:rPr>
        <w:t>means the therapeutic application of megavoltage radiation, using a linear accelerator or cobalt unit. The availability of such service at a hospital would necessitate personnel trained in the therapeutic application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“Shared service agreement”</w:t>
      </w:r>
      <w:r>
        <w:rPr>
          <w:rFonts w:ascii="Times New Roman" w:hAnsi="Times New Roman"/>
          <w:b w:val="false"/>
          <w:i w:val="false"/>
          <w:color w:val="000000"/>
          <w:sz w:val="22"/>
        </w:rPr>
        <w:t> </w:t>
      </w:r>
      <w:r>
        <w:rPr>
          <w:rFonts w:ascii="Times New Roman" w:hAnsi="Times New Roman"/>
          <w:b w:val="false"/>
          <w:i w:val="false"/>
          <w:color w:val="000000"/>
          <w:sz w:val="22"/>
        </w:rPr>
        <w:t>means a multi-institutional arrangement for coordination or consolidation of services or sharing of support services. Among the various types of arrangements are referred services, purchased or joint contract services, multisponsored services and regional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 body scanner”</w:t>
      </w:r>
      <w:r>
        <w:rPr>
          <w:rFonts w:ascii="Times New Roman" w:hAnsi="Times New Roman"/>
          <w:b w:val="false"/>
          <w:i w:val="false"/>
          <w:color w:val="000000"/>
          <w:sz w:val="22"/>
        </w:rPr>
        <w:t> </w:t>
      </w:r>
      <w:r>
        <w:rPr>
          <w:rFonts w:ascii="Times New Roman" w:hAnsi="Times New Roman"/>
          <w:b w:val="false"/>
          <w:i w:val="false"/>
          <w:color w:val="000000"/>
          <w:sz w:val="22"/>
        </w:rPr>
        <w:t>means a scanner capable of imaging the entire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does not have a scanner or an applicant who has a scanner and seeks a certificate for one or more additional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in areas with no other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have performed at least 30,000 general imaging procedures during the past calendar year or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during the past calendar year or 12 months, the applicant has performed diagnostic procedures equivalent to 1,500 head equivalent CTs (HECTs), using the following: 100 percent of the number of patients referred to other facilities for CT diagnosis × 1.75 (in the case of head scans) and 2.75 (in the case of body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one or more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meet the requirement of need described in subparagraph </w:t>
      </w:r>
      <w:hyperlink r:id="rId5">
        <w:r>
          <w:rPr>
            <w:rStyle w:val="Hyperlink"/>
            <w:rFonts w:ascii="Times New Roman" w:hAnsi="Times New Roman"/>
            <w:b w:val="false"/>
            <w:i w:val="false"/>
            <w:color w:val="000000"/>
            <w:sz w:val="22"/>
          </w:rPr>
          <w:t>124.4(3)</w:t>
        </w:r>
      </w:hyperlink>
      <w:r>
        <w:rPr>
          <w:rFonts w:ascii="Times New Roman" w:hAnsi="Times New Roman"/>
          <w:b w:val="false"/>
          <w:i/>
          <w:color w:val="000000"/>
          <w:sz w:val="22"/>
        </w:rPr>
        <w:t>“a”</w:t>
      </w:r>
      <w:r>
        <w:rPr>
          <w:rFonts w:ascii="Times New Roman" w:hAnsi="Times New Roman"/>
          <w:b w:val="false"/>
          <w:i w:val="false"/>
          <w:color w:val="000000"/>
          <w:sz w:val="22"/>
        </w:rPr>
        <w:t>(1),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average level of utilization for scanners within the area was at least 3,000 HECTs (plus or minus 10 percent) for the past calendar year or 12 months. The average level of utilization will be determined by adding the number of HECTs performed during the period at all area facilities divided by the number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University of Iowa Health Care is specifically exempted from consideration under numbered paragraph </w:t>
      </w:r>
      <w:hyperlink r:id="rId6">
        <w:r>
          <w:rPr>
            <w:rStyle w:val="Hyperlink"/>
            <w:rFonts w:ascii="Times New Roman" w:hAnsi="Times New Roman"/>
            <w:b w:val="false"/>
            <w:i w:val="false"/>
            <w:color w:val="000000"/>
            <w:sz w:val="22"/>
          </w:rPr>
          <w:t>124.3(3)</w:t>
        </w:r>
      </w:hyperlink>
      <w:r>
        <w:rPr>
          <w:rFonts w:ascii="Times New Roman" w:hAnsi="Times New Roman"/>
          <w:b w:val="false"/>
          <w:i/>
          <w:color w:val="000000"/>
          <w:sz w:val="22"/>
        </w:rPr>
        <w:t>“a”</w:t>
      </w:r>
      <w:r>
        <w:rPr>
          <w:rFonts w:ascii="Times New Roman" w:hAnsi="Times New Roman"/>
          <w:b w:val="false"/>
          <w:i w:val="false"/>
          <w:color w:val="000000"/>
          <w:sz w:val="22"/>
        </w:rPr>
        <w:t>(2)“2” because it has a service area that encompasses the entire state and adjoining states. The utilization statistics for scanners at the University of Nebraska Medical Center and Creighton University Medical Center – Bergan Mercy (both in Omaha) will not affect the need for scanners at hospitals in Council Bluffs.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scanners—applicant who currently has a scanner.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replace a scanner with another scanner, head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applicant’s use of the applicant’s current scanner was at least at the operating capacity level during the last calendar year or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applicant’s use of the applicant’s current scanner was at least below the operating capacity level, but above the 1,500 CT scan level, and the applicant must demonstrate reasons for permanently utilizing the applicant’s scanner below operating capacity level and demonstrate that discontinuation of the applicant’s scanner service would impair the applicant’s ability to respond to the emergency needs of the area. Reasons for utilizing the scanner below the capacity should include a unique patient or procedure mix that would define the capacity level differently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124.3(4)</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CT scanners should be depreciated over a period of not less than seven years. Remodeling shall be depreciated as appropriate by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Cost-effectiveness. An applicant should demonstrate for the applicant and the health care system that the most cost-effective method of providing CT services has been chosen. A proposed new and replacement CT scanner’s cost per CT scan should, when compared to the applicant’s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scanners must be available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should be provided to all patients regardless of the patients’ ability to pay, taking into consideration the availability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will demonstrate a willingness to accept referrals for CT services from all area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on use and costs of the CT scanners should be submitted to the Iowa department of health and human services as a condition of approval. (Iowa Code section </w:t>
      </w:r>
      <w:hyperlink r:id="rId10">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 has on its staff or will acquire on its staff a full-time diagnostic radiologist trained in the use of the CT scanner or other physicians with comparable training and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document that the applicant has on its medical staff individuals who are qualified to operate a scanner and interpret and act upon the diagnostic results. Such documentation may include reference to board certification, apprenticeship, academic credentials or such other qualifications that would prompt a medical staff to accept the responsibility for offering this new service. An applicant that intends to acquire staff with the desired expertise should provide signed letters of intent from the incoming medical personnel. An applicant that intends to upgrade the specialty skills of its staff should document a plan for training its current staff in the use of CT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a complement of other diagnostic modalities available. An applicant seeking body scanners should also have available ultrasound and conventional X-ray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the facilities for treating the conditions diagnosed by imaging with the scanner or should demonstrate referral agreements with treatment facilities in the event that the scanner will be used as a screening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on its staff or available on a consultative basis the services of a biomedical engineer or medical physicist with special training in CT applications. These functions may also be provided by contract with the scanner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11">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that an attempt was made to solicit letters of support from area hospitals and physicians to indicate a community need for the proposed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an emphasis on the availability of outpatient CT procedures and that an appropriate percentage of all CT procedures will be done on an outpatient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“k”</w:t>
      </w:r>
      <w:r>
        <w:rPr>
          <w:rFonts w:ascii="Times New Roman" w:hAnsi="Times New Roman"/>
          <w:b w:val="false"/>
          <w:i w:val="false"/>
          <w:color w:val="000000"/>
          <w:sz w:val="22"/>
        </w:rPr>
        <w:t>) Providers of CT services should indicate a willingness to observe the rights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3.pdf" Type="http://schemas.openxmlformats.org/officeDocument/2006/relationships/hyperlink" Id="rId4"/>
    <Relationship TargetMode="External" Target="https://www.legis.iowa.gov/docs/iac/rule/441.124.4.pdf" Type="http://schemas.openxmlformats.org/officeDocument/2006/relationships/hyperlink" Id="rId5"/>
    <Relationship TargetMode="External" Target="https://www.legis.iowa.gov/docs/iac/rule/441.124.3.pdf" Type="http://schemas.openxmlformats.org/officeDocument/2006/relationships/hyperlink" Id="rId6"/>
    <Relationship TargetMode="External" Target="https://www.legis.iowa.gov/docs/ico/chapter/135.63.pdf" Type="http://schemas.openxmlformats.org/officeDocument/2006/relationships/hyperlink" Id="rId7"/>
    <Relationship TargetMode="External" Target="https://www.legis.iowa.gov/docs/ico/chapter/135.63.pdf" Type="http://schemas.openxmlformats.org/officeDocument/2006/relationships/hyperlink" Id="rId8"/>
    <Relationship TargetMode="External" Target="https://www.legis.iowa.gov/docs/ico/chapter/135.63.pdf" Type="http://schemas.openxmlformats.org/officeDocument/2006/relationships/hyperlink" Id="rId9"/>
    <Relationship TargetMode="External" Target="https://www.legis.iowa.gov/docs/ico/chapter/135.63.pdf" Type="http://schemas.openxmlformats.org/officeDocument/2006/relationships/hyperlink" Id="rId10"/>
    <Relationship TargetMode="External" Target="https://www.legis.iowa.gov/docs/ico/chapter/135.63.pdf" Type="http://schemas.openxmlformats.org/officeDocument/2006/relationships/hyperlink" Id="rId11"/>
    <Relationship TargetMode="External" Target="https://www.legis.iowa.gov/docs/ico/chapter/135.63.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