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441—123.2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Letter of intent.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Before applying for a certificate of need, the sponsor of a proposed new institutional health service or changed institutional health service will electronically submit a letter of intent meeting the criteria noted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135.64(1)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make available on the certificate of need website all criteria and standards pertinent to an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letter of intent received by the department is valid for a period of one year from the date of receipt by the department. The sponsor may renew the validity of a letter of intent by providing written notification to the department prior to the one-year expiration date.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0320D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35.6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