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261—406.7</w:t>
      </w:r>
      <w:r>
        <w:rPr>
          <w:rFonts w:ascii="Times New Roman" w:hAnsi="Times New Roman"/>
          <w:b/>
          <w:i w:val="false"/>
          <w:color w:val="000000"/>
          <w:sz w:val="22"/>
        </w:rPr>
        <w:t xml:space="preserve">(15,476)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406.7(1)</w:t>
      </w:r>
      <w:r>
        <w:rPr>
          <w:rFonts w:ascii="Times New Roman" w:hAnsi="Times New Roman"/>
          <w:b w:val="false"/>
          <w:i w:val="false"/>
          <w:color w:val="000000"/>
          <w:sz w:val="22"/>
        </w:rPr>
        <w:t> </w:t>
      </w:r>
      <w:r>
        <w:rPr>
          <w:rFonts w:ascii="Times New Roman" w:hAnsi="Times New Roman"/>
          <w:b w:val="false"/>
          <w:i/>
          <w:color w:val="000000"/>
          <w:sz w:val="22"/>
        </w:rPr>
        <w:t xml:space="preserve">Notice of approval or denial. </w:t>
      </w:r>
      <w:r>
        <w:rPr>
          <w:rFonts w:ascii="Times New Roman" w:hAnsi="Times New Roman"/>
          <w:b w:val="false"/>
          <w:i w:val="false"/>
          <w:color w:val="000000"/>
          <w:sz w:val="22"/>
        </w:rPr>
        <w:t>The authority will notify applicants in writing of the board’s approval or denial of an application. If the application is approved, the notice will include any conditions and terms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406.7(2)</w:t>
      </w:r>
      <w:r>
        <w:rPr>
          <w:rFonts w:ascii="Times New Roman" w:hAnsi="Times New Roman"/>
          <w:b w:val="false"/>
          <w:i w:val="false"/>
          <w:color w:val="000000"/>
          <w:sz w:val="22"/>
        </w:rPr>
        <w:t> </w:t>
      </w:r>
      <w:r>
        <w:rPr>
          <w:rFonts w:ascii="Times New Roman" w:hAnsi="Times New Roman"/>
          <w:b w:val="false"/>
          <w:i/>
          <w:color w:val="000000"/>
          <w:sz w:val="22"/>
        </w:rPr>
        <w:t xml:space="preserve">Loan agreement. </w:t>
      </w:r>
      <w:r>
        <w:rPr>
          <w:rFonts w:ascii="Times New Roman" w:hAnsi="Times New Roman"/>
          <w:b w:val="false"/>
          <w:i w:val="false"/>
          <w:color w:val="000000"/>
          <w:sz w:val="22"/>
        </w:rPr>
        <w:t>A borrower shall enter into a loan agreement with the authority.  The borrower will execute and return the loan agreement to the authority within 90 days of the transmittal of the final loan agreement from the authority. Failure to do so may be cause for the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406.7(3)</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Borrowers shall submit requests for disbursement of funds in the manner proscribed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406.7(4)</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substantive change to the scope of work for a project or request to renegotiate loan terms shall require an amendment to the loan agreement. The borrower shall request amendments in writing. No substantive amendment shall be valid until approved by the board. The authority may execute nonsubstantive or ministerial changes to the loan agreement without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406.7(5)</w:t>
      </w:r>
      <w:r>
        <w:rPr>
          <w:rFonts w:ascii="Times New Roman" w:hAnsi="Times New Roman"/>
          <w:b w:val="false"/>
          <w:i w:val="false"/>
          <w:color w:val="000000"/>
          <w:sz w:val="22"/>
        </w:rPr>
        <w:t> </w:t>
      </w:r>
      <w:r>
        <w:rPr>
          <w:rFonts w:ascii="Times New Roman" w:hAnsi="Times New Roman"/>
          <w:b w:val="false"/>
          <w:i/>
          <w:color w:val="000000"/>
          <w:sz w:val="22"/>
        </w:rPr>
        <w:t xml:space="preserve">Loan forgiveness. </w:t>
      </w:r>
      <w:r>
        <w:rPr>
          <w:rFonts w:ascii="Times New Roman" w:hAnsi="Times New Roman"/>
          <w:b w:val="false"/>
          <w:i w:val="false"/>
          <w:color w:val="000000"/>
          <w:sz w:val="22"/>
        </w:rPr>
        <w:t>The board may consider requests for loan forgiveness if the borrower demonstrates forgiveness is necessary to avoid a negative material impact on the project or potential default.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406.7(6)</w:t>
      </w:r>
      <w:r>
        <w:rPr>
          <w:rFonts w:ascii="Times New Roman" w:hAnsi="Times New Roman"/>
          <w:b w:val="false"/>
          <w:i w:val="false"/>
          <w:color w:val="000000"/>
          <w:sz w:val="22"/>
        </w:rPr>
        <w:t> </w:t>
      </w:r>
      <w:r>
        <w:rPr>
          <w:rFonts w:ascii="Times New Roman" w:hAnsi="Times New Roman"/>
          <w:b w:val="false"/>
          <w:i/>
          <w:color w:val="000000"/>
          <w:sz w:val="22"/>
        </w:rPr>
        <w:t xml:space="preserve">Closeout. </w:t>
      </w:r>
      <w:r>
        <w:rPr>
          <w:rFonts w:ascii="Times New Roman" w:hAnsi="Times New Roman"/>
          <w:b w:val="false"/>
          <w:i w:val="false"/>
          <w:color w:val="000000"/>
          <w:sz w:val="22"/>
        </w:rPr>
        <w:t>Upon project completion, the authority will initiate project closeout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406.7(7)</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retention. </w:t>
      </w:r>
      <w:r>
        <w:rPr>
          <w:rFonts w:ascii="Times New Roman" w:hAnsi="Times New Roman"/>
          <w:b w:val="false"/>
          <w:i w:val="false"/>
          <w:color w:val="000000"/>
          <w:sz w:val="22"/>
        </w:rPr>
        <w:t>Borrowers shall retain all financial records, all supporting documents, and all other records pertinent to the loan for five years after the loan agreement is closed or the date the authority issues a written notice of default if the default is not 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406.7(8)</w:t>
      </w:r>
      <w:r>
        <w:rPr>
          <w:rFonts w:ascii="Times New Roman" w:hAnsi="Times New Roman"/>
          <w:b w:val="false"/>
          <w:i w:val="false"/>
          <w:color w:val="000000"/>
          <w:sz w:val="22"/>
        </w:rPr>
        <w:t> </w:t>
      </w:r>
      <w:r>
        <w:rPr>
          <w:rFonts w:ascii="Times New Roman" w:hAnsi="Times New Roman"/>
          <w:b w:val="false"/>
          <w:i/>
          <w:color w:val="000000"/>
          <w:sz w:val="22"/>
        </w:rPr>
        <w:t xml:space="preserve">Reporting and compliance. </w:t>
      </w:r>
      <w:r>
        <w:rPr>
          <w:rFonts w:ascii="Times New Roman" w:hAnsi="Times New Roman"/>
          <w:b w:val="false"/>
          <w:i w:val="false"/>
          <w:color w:val="000000"/>
          <w:sz w:val="22"/>
        </w:rPr>
        <w:t>The borrower shall complete all reports required by the loan agreement. The borrower shall submit any information reasonably requested by the authority in sufficient detail to permit the authority to prepare any reports required by the authority, the board, the general assembly or the governor’s office. The authority reserves the right to conduct site visits of all awarded projects to ensure the projects were built as proposed and to provide verification of ongoing operation. The authority will monitor all loans to ensure that loan proceeds have been spent as identified in the loan agreement and that all other sources of financing have been committed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406.7(9)</w:t>
      </w:r>
      <w:r>
        <w:rPr>
          <w:rFonts w:ascii="Times New Roman" w:hAnsi="Times New Roman"/>
          <w:b w:val="false"/>
          <w:i w:val="false"/>
          <w:color w:val="000000"/>
          <w:sz w:val="22"/>
        </w:rPr>
        <w:t> </w:t>
      </w:r>
      <w:r>
        <w:rPr>
          <w:rFonts w:ascii="Times New Roman" w:hAnsi="Times New Roman"/>
          <w:b w:val="false"/>
          <w:i/>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project or the repayment of the loan, the authority may find that a borrower is in default under the terms of the loan agreement. The authority will take prompt, appropriate, and aggressive debt collection action to recover any funds misspent by borrowers.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authority determines that a borrower is in default, the authority may seek recovery of the loan plus interest or other penalties, negotiate alternative payment schedules, suspend or discontinue collection efforts, and take other action as the authority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shall attempt to collect the amount owed. Any negotiated settlement, write-off, or discontinuance of collection efforts is subject to final review by and approval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authority refers a defaulted loan to outside counsel for debt collection, then the terms of the contract between the authority and the outside counsel regarding the scope of counsel’s authorization to accept settlements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0311D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