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261—406.6</w:t>
      </w:r>
      <w:r>
        <w:rPr>
          <w:rFonts w:ascii="Times New Roman" w:hAnsi="Times New Roman"/>
          <w:b/>
          <w:i w:val="false"/>
          <w:color w:val="000000"/>
          <w:sz w:val="22"/>
        </w:rPr>
        <w:t xml:space="preserve">(15,476)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are available at </w:t>
      </w:r>
      <w:hyperlink r:id="rId4">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accepted only during the established application periods identified by the authority on its website at </w:t>
      </w:r>
      <w:hyperlink r:id="rId5">
        <w:r>
          <w:rPr>
            <w:rStyle w:val="Hyperlink"/>
            <w:rFonts w:ascii="Times New Roman" w:hAnsi="Times New Roman"/>
            <w:b w:val="false"/>
            <w:i w:val="false"/>
            <w:color w:val="000000"/>
            <w:sz w:val="22"/>
            <w:u w:val="single"/>
          </w:rPr>
          <w:t>www.opportunityiowa.gov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406.6(3)</w:t>
      </w:r>
      <w:r>
        <w:rPr>
          <w:rFonts w:ascii="Times New Roman" w:hAnsi="Times New Roman"/>
          <w:b w:val="false"/>
          <w:i w:val="false"/>
          <w:color w:val="000000"/>
          <w:sz w:val="22"/>
        </w:rPr>
        <w:t> </w:t>
      </w:r>
      <w:r>
        <w:rPr>
          <w:rFonts w:ascii="Times New Roman" w:hAnsi="Times New Roman"/>
          <w:b w:val="false"/>
          <w:i w:val="false"/>
          <w:color w:val="000000"/>
          <w:sz w:val="22"/>
        </w:rPr>
        <w:t>The authority will review applications for completeness, eligibility, and technical and financial merit. The authority may engage outside reviewers to complete technical, financial, or other reviews of applications as needed. The authority may request additional information from applicants to complete review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406.6(4)</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recommendations for the loan committee. The loan committee will review the applications and staff recommendations and then make recommendations to the board. The board will approve, defer, or deny applications for loans. The authority may negotiate the amount, terms, and other conditions of each loan before an award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owagrants.gov" Type="http://schemas.openxmlformats.org/officeDocument/2006/relationships/hyperlink" Id="rId4"/>
    <Relationship TargetMode="External" Target="http://www.opportunity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