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261—406.2</w:t>
      </w:r>
      <w:r>
        <w:rPr>
          <w:rFonts w:ascii="Times New Roman" w:hAnsi="Times New Roman"/>
          <w:b/>
          <w:i w:val="false"/>
          <w:color w:val="000000"/>
          <w:sz w:val="22"/>
        </w:rPr>
        <w:t xml:space="preserve">(15,476) </w:t>
      </w:r>
      <w:r>
        <w:rPr>
          <w:rFonts w:ascii="Times New Roman" w:hAnsi="Times New Roman"/>
          <w:b/>
          <w:i w:val="false"/>
          <w:color w:val="000000"/>
          <w:sz w:val="22"/>
        </w:rPr>
        <w:t xml:space="preserve">Loan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406.2(1)</w:t>
      </w:r>
      <w:r>
        <w:rPr>
          <w:rFonts w:ascii="Times New Roman" w:hAnsi="Times New Roman"/>
          <w:b w:val="false"/>
          <w:i w:val="false"/>
          <w:color w:val="000000"/>
          <w:sz w:val="22"/>
        </w:rPr>
        <w:t> </w:t>
      </w:r>
      <w:r>
        <w:rPr>
          <w:rFonts w:ascii="Times New Roman" w:hAnsi="Times New Roman"/>
          <w:b w:val="false"/>
          <w:i w:val="false"/>
          <w:color w:val="000000"/>
          <w:sz w:val="22"/>
        </w:rPr>
        <w:t>The minimum loan amount is $50,000 per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lend more than 75 percent of total project costs for any project type. For purposes of determining the amount the board may lend pursuant to this subrule, total project costs include eligible costs pursuant to subrule </w:t>
      </w:r>
      <w:hyperlink r:id="rId4">
        <w:r>
          <w:rPr>
            <w:rStyle w:val="Hyperlink"/>
            <w:rFonts w:ascii="Times New Roman" w:hAnsi="Times New Roman"/>
            <w:b w:val="false"/>
            <w:i w:val="false"/>
            <w:color w:val="000000"/>
            <w:sz w:val="22"/>
          </w:rPr>
          <w:t>406.5(1)</w:t>
        </w:r>
      </w:hyperlink>
      <w:r>
        <w:rPr>
          <w:rFonts w:ascii="Times New Roman" w:hAnsi="Times New Roman"/>
          <w:b w:val="false"/>
          <w:i w:val="false"/>
          <w:color w:val="000000"/>
          <w:sz w:val="22"/>
        </w:rPr>
        <w:t xml:space="preserve"> as well as other costs determined by the board to be necessary to the development of energy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406.2(3)</w:t>
      </w:r>
      <w:r>
        <w:rPr>
          <w:rFonts w:ascii="Times New Roman" w:hAnsi="Times New Roman"/>
          <w:b w:val="false"/>
          <w:i w:val="false"/>
          <w:color w:val="000000"/>
          <w:sz w:val="22"/>
        </w:rPr>
        <w:t> </w:t>
      </w:r>
      <w:r>
        <w:rPr>
          <w:rFonts w:ascii="Times New Roman" w:hAnsi="Times New Roman"/>
          <w:b w:val="false"/>
          <w:i w:val="false"/>
          <w:color w:val="000000"/>
          <w:sz w:val="22"/>
        </w:rPr>
        <w:t>The board shall not issue a loan that exceeds the value of the collateral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406.2(4)</w:t>
      </w:r>
      <w:r>
        <w:rPr>
          <w:rFonts w:ascii="Times New Roman" w:hAnsi="Times New Roman"/>
          <w:b w:val="false"/>
          <w:i w:val="false"/>
          <w:color w:val="000000"/>
          <w:sz w:val="22"/>
        </w:rPr>
        <w:t> </w:t>
      </w:r>
      <w:r>
        <w:rPr>
          <w:rFonts w:ascii="Times New Roman" w:hAnsi="Times New Roman"/>
          <w:b w:val="false"/>
          <w:i w:val="false"/>
          <w:color w:val="000000"/>
          <w:sz w:val="22"/>
        </w:rPr>
        <w:t>The board will accept security for a loan. The following forms of collateral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Dedicated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Utility revenue or reserve funds,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forms of collateral if approved by the board and only if the forms of collateral listed in paragraphs </w:t>
      </w:r>
      <w:hyperlink r:id="rId5">
        <w:r>
          <w:rPr>
            <w:rStyle w:val="Hyperlink"/>
            <w:rFonts w:ascii="Times New Roman" w:hAnsi="Times New Roman"/>
            <w:b w:val="false"/>
            <w:i w:val="false"/>
            <w:color w:val="000000"/>
            <w:sz w:val="22"/>
          </w:rPr>
          <w:t>406.2(4)</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406.2(5)</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the borrower’s credit rating in determining what form of collateral is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406.2(6)</w:t>
      </w:r>
      <w:r>
        <w:rPr>
          <w:rFonts w:ascii="Times New Roman" w:hAnsi="Times New Roman"/>
          <w:b w:val="false"/>
          <w:i w:val="false"/>
          <w:color w:val="000000"/>
          <w:sz w:val="22"/>
        </w:rPr>
        <w:t> </w:t>
      </w:r>
      <w:r>
        <w:rPr>
          <w:rFonts w:ascii="Times New Roman" w:hAnsi="Times New Roman"/>
          <w:b w:val="false"/>
          <w:i w:val="false"/>
          <w:color w:val="000000"/>
          <w:sz w:val="22"/>
        </w:rPr>
        <w:t>The board may consider the projected payback date of the project in determining the duration of the loan, which shall not exceed 15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406.2(7)</w:t>
      </w:r>
      <w:r>
        <w:rPr>
          <w:rFonts w:ascii="Times New Roman" w:hAnsi="Times New Roman"/>
          <w:b w:val="false"/>
          <w:i w:val="false"/>
          <w:color w:val="000000"/>
          <w:sz w:val="22"/>
        </w:rPr>
        <w:t> </w:t>
      </w:r>
      <w:r>
        <w:rPr>
          <w:rFonts w:ascii="Times New Roman" w:hAnsi="Times New Roman"/>
          <w:b w:val="false"/>
          <w:i w:val="false"/>
          <w:color w:val="000000"/>
          <w:sz w:val="22"/>
        </w:rPr>
        <w:t>The interest rate shall not exceed the Wall Street Journal prime rate as of the date of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1.406.5.pdf" Type="http://schemas.openxmlformats.org/officeDocument/2006/relationships/hyperlink" Id="rId4"/>
    <Relationship TargetMode="External" Target="https://www.legis.iowa.gov/docs/iac/rule/261.406.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