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261—405.5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 after June 30, 2021.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the extent allowed by other provisions of law, the rules adopted in this chapter shall continue to apply to agreements entered into on or before June 30, 2021.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