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261—405.4</w:t>
      </w:r>
      <w:r>
        <w:rPr>
          <w:rFonts w:ascii="Times New Roman" w:hAnsi="Times New Roman"/>
          <w:b/>
          <w:i w:val="false"/>
          <w:color w:val="000000"/>
          <w:sz w:val="22"/>
        </w:rPr>
        <w:t xml:space="preserve">(15)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405.4(1)</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substantive change to a project shall require an amendment to the loan agreement. The borrower shall request the amendment in writing. No substantive amendment shall be valid until approved by the board. The authority may execute nonsubstantive or corrective changes to the loan agreement without board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405.4(2)</w:t>
      </w:r>
      <w:r>
        <w:rPr>
          <w:rFonts w:ascii="Times New Roman" w:hAnsi="Times New Roman"/>
          <w:b w:val="false"/>
          <w:i w:val="false"/>
          <w:color w:val="000000"/>
          <w:sz w:val="22"/>
        </w:rPr>
        <w:t> </w:t>
      </w:r>
      <w:r>
        <w:rPr>
          <w:rFonts w:ascii="Times New Roman" w:hAnsi="Times New Roman"/>
          <w:b w:val="false"/>
          <w:i/>
          <w:color w:val="000000"/>
          <w:sz w:val="22"/>
        </w:rPr>
        <w:t xml:space="preserve">Closeout. </w:t>
      </w:r>
      <w:r>
        <w:rPr>
          <w:rFonts w:ascii="Times New Roman" w:hAnsi="Times New Roman"/>
          <w:b w:val="false"/>
          <w:i w:val="false"/>
          <w:color w:val="000000"/>
          <w:sz w:val="22"/>
        </w:rPr>
        <w:t>Upon project completion, the authority will initiate project closeout procedures.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405.4(3)</w:t>
      </w:r>
      <w:r>
        <w:rPr>
          <w:rFonts w:ascii="Times New Roman" w:hAnsi="Times New Roman"/>
          <w:b w:val="false"/>
          <w:i w:val="false"/>
          <w:color w:val="000000"/>
          <w:sz w:val="22"/>
        </w:rPr>
        <w:t> </w:t>
      </w:r>
      <w:r>
        <w:rPr>
          <w:rFonts w:ascii="Times New Roman" w:hAnsi="Times New Roman"/>
          <w:b w:val="false"/>
          <w:i/>
          <w:color w:val="000000"/>
          <w:sz w:val="22"/>
        </w:rPr>
        <w:t xml:space="preserve">Recordkeeping and retention. </w:t>
      </w:r>
      <w:r>
        <w:rPr>
          <w:rFonts w:ascii="Times New Roman" w:hAnsi="Times New Roman"/>
          <w:b w:val="false"/>
          <w:i w:val="false"/>
          <w:color w:val="000000"/>
          <w:sz w:val="22"/>
        </w:rPr>
        <w:t>Borrowers shall retain all financial records, all supporting documents, and all other records pertinent to the loan for five years after the loan agreement is closed or the date the authority issues a written notice of default if the default is not cured.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405.4(4)</w:t>
      </w:r>
      <w:r>
        <w:rPr>
          <w:rFonts w:ascii="Times New Roman" w:hAnsi="Times New Roman"/>
          <w:b w:val="false"/>
          <w:i w:val="false"/>
          <w:color w:val="000000"/>
          <w:sz w:val="22"/>
        </w:rPr>
        <w:t> </w:t>
      </w:r>
      <w:r>
        <w:rPr>
          <w:rFonts w:ascii="Times New Roman" w:hAnsi="Times New Roman"/>
          <w:b w:val="false"/>
          <w:i/>
          <w:color w:val="000000"/>
          <w:sz w:val="22"/>
        </w:rPr>
        <w:t xml:space="preserve">Reporting and compliance. </w:t>
      </w:r>
      <w:r>
        <w:rPr>
          <w:rFonts w:ascii="Times New Roman" w:hAnsi="Times New Roman"/>
          <w:b w:val="false"/>
          <w:i w:val="false"/>
          <w:color w:val="000000"/>
          <w:sz w:val="22"/>
        </w:rPr>
        <w:t>The authority reserves the right to conduct a site visit of all awarded projects to ensure the projects were built as proposed and to provide verification of ongoing operation. The authority will monitor all loans to ensure that loan proceeds have been spent as identified in the contract and that all other sources of financing have been committed to the project. Borrowers shall be required to notify the authority of any change in ownership.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405.4(5)</w:t>
      </w:r>
      <w:r>
        <w:rPr>
          <w:rFonts w:ascii="Times New Roman" w:hAnsi="Times New Roman"/>
          <w:b w:val="false"/>
          <w:i w:val="false"/>
          <w:color w:val="000000"/>
          <w:sz w:val="22"/>
        </w:rPr>
        <w:t> </w:t>
      </w:r>
      <w:r>
        <w:rPr>
          <w:rFonts w:ascii="Times New Roman" w:hAnsi="Times New Roman"/>
          <w:b w:val="false"/>
          <w:i/>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At any time during the construction of a project or the repayment of the loan, the authority may find that a borrower is in default under the terms of the loan agreement. The authority will take prompt, appropriate, and aggressive debt collection action to recover any funds misspent by borrowers.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authority determines that a borrower is in default, the authority may seek recovery of the loan plus interest or other penalties as authorized pursuant to Iowa Code section </w:t>
      </w:r>
      <w:hyperlink r:id="rId4">
        <w:r>
          <w:rPr>
            <w:rStyle w:val="Hyperlink"/>
            <w:rFonts w:ascii="Times New Roman" w:hAnsi="Times New Roman"/>
            <w:b w:val="false"/>
            <w:i w:val="false"/>
            <w:color w:val="000000"/>
            <w:sz w:val="22"/>
          </w:rPr>
          <w:t>476.46</w:t>
        </w:r>
      </w:hyperlink>
      <w:r>
        <w:rPr>
          <w:rFonts w:ascii="Times New Roman" w:hAnsi="Times New Roman"/>
          <w:b w:val="false"/>
          <w:i w:val="false"/>
          <w:color w:val="000000"/>
          <w:sz w:val="22"/>
        </w:rPr>
        <w:t>, negotiate alternative payment schedules, suspend or discontinue collection efforts, and take other action as the authority deems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authority shall attempt to collect the amount owed. Any negotiated settlement, write-off, or discontinuance of collection efforts is subject to final review by and approval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authority refers a defaulted loan to outside counsel for debt collection, then the terms of the contract between the authority and the outside counsel regarding the scope of counsel’s authorization to accept settlements shall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0310D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46.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