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261—403.2</w:t>
      </w:r>
      <w:r>
        <w:rPr>
          <w:rFonts w:ascii="Times New Roman" w:hAnsi="Times New Roman"/>
          <w:b/>
          <w:i w:val="false"/>
          <w:color w:val="000000"/>
          <w:sz w:val="22"/>
        </w:rPr>
        <w:t xml:space="preserve">(15) </w:t>
      </w:r>
      <w:r>
        <w:rPr>
          <w:rFonts w:ascii="Times New Roman" w:hAnsi="Times New Roman"/>
          <w:b/>
          <w:i w:val="false"/>
          <w:color w:val="000000"/>
          <w:sz w:val="22"/>
        </w:rPr>
        <w:t xml:space="preserve">Iowa energy center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403.2(1)</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Seven or more members of the board constitute a quorum, and any board action requires an affirmative vote by a majority of the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403.2(2)</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Members of the board elect a chairperson and a vice chairperson annually and may elect other officers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generally meets quarterly at the authority’s offices or by electronic means. By notice of the regularly published meeting agendas, the board and its committees may hold regular or special meetings at other locations within the state. Meeting agendas are available on the authority’s website at </w:t>
      </w:r>
      <w:hyperlink r:id="rId4">
        <w:r>
          <w:rPr>
            <w:rStyle w:val="Hyperlink"/>
            <w:rFonts w:ascii="Times New Roman" w:hAnsi="Times New Roman"/>
            <w:b w:val="false"/>
            <w:i w:val="false"/>
            <w:color w:val="000000"/>
            <w:sz w:val="22"/>
            <w:u w:val="single"/>
          </w:rPr>
          <w:t>www.opportunityiowa.gov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may exclude any person disrupting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403.2(4)</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board may, from time to time, establish advisory committees for purposes of overseeing the IEC, its programs, and its operations. Such committees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committee is established to assist the board in making and administering awards of grants under the IEC’s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grant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grant committee may elect a chairperson. The chairperson may appoint members of the grant committee to serve on a grant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grant committee may include reviewing applications for grant awards, making recommendations to the board regarding the size and condition of grant awards, and any other duty assigned by the board in relation to the programs administered by the IEC.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grant committee are held at the call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loan committee is established to assist the board in making and administering loan awards under the IEC’s programs, including the alternate energy revolving loan program and energy infrastructure revolving loan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loan committee may elect a chairperson. The chairperson may appoint members of the loan committee to serve on a loan committee subcommittee if necessary. Such a subcommittee is advisory only and may perform such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loan committee may include reviewing applications for loans, making recommendations to the board regarding the size and condition of loans, and any other duty assigned by the board in relation to the programs administered by the IEC.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the committee members constitutes a quorum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Meetings of the loan committee are held at the call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opportunity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