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191—55.9</w:t>
      </w:r>
      <w:r>
        <w:rPr>
          <w:rFonts w:ascii="Times New Roman" w:hAnsi="Times New Roman"/>
          <w:b/>
          <w:i w:val="false"/>
          <w:color w:val="000000"/>
          <w:sz w:val="22"/>
        </w:rPr>
        <w:t xml:space="preserve">(522C) </w:t>
      </w:r>
      <w:r>
        <w:rPr>
          <w:rFonts w:ascii="Times New Roman" w:hAnsi="Times New Roman"/>
          <w:b/>
          <w:i w:val="false"/>
          <w:color w:val="000000"/>
          <w:sz w:val="22"/>
        </w:rPr>
        <w:t xml:space="preserve">Terms of licensure. </w:t>
      </w:r>
      <w:r>
        <w:rPr>
          <w:rFonts w:ascii="Times New Roman" w:hAnsi="Times New Roman"/>
          <w:b w:val="false"/>
          <w:i w:val="false"/>
          <w:color w:val="000000"/>
          <w:sz w:val="22"/>
        </w:rPr>
        <w:t xml:space="preserve">Unless denied licensure under this chapter or under Iowa Code chapter </w:t>
      </w:r>
      <w:hyperlink r:id="rId4">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xml:space="preserve">, persons who have met the requirements of this chapter and Iowa Code chapter </w:t>
      </w:r>
      <w:hyperlink r:id="rId5">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xml:space="preserve"> shall be issued a public adjuster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55.9(1)</w:t>
      </w:r>
      <w:r>
        <w:rPr>
          <w:rFonts w:ascii="Times New Roman" w:hAnsi="Times New Roman"/>
          <w:b w:val="false"/>
          <w:i w:val="false"/>
          <w:color w:val="000000"/>
          <w:sz w:val="22"/>
        </w:rPr>
        <w:t> </w:t>
      </w:r>
      <w:r>
        <w:rPr>
          <w:rFonts w:ascii="Times New Roman" w:hAnsi="Times New Roman"/>
          <w:b w:val="false"/>
          <w:i/>
          <w:color w:val="000000"/>
          <w:sz w:val="22"/>
        </w:rPr>
        <w:t xml:space="preserve">Content of license. </w:t>
      </w:r>
      <w:r>
        <w:rPr>
          <w:rFonts w:ascii="Times New Roman" w:hAnsi="Times New Roman"/>
          <w:b w:val="false"/>
          <w:i w:val="false"/>
          <w:color w:val="000000"/>
          <w:sz w:val="22"/>
        </w:rPr>
        <w:t>The license shall contain the public adjuster’s name, city and state of business address, license number, the date of issuance, the expiration date, and any other information the division deems necessary. The license number shall be the same as the public adjuster’s National Insurance Producer Registry (NIPR) national producer number (NPN). The division will not send a paper license to the public adjuster, but public adjusters may download and print licenses through the division’s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55.9(2)</w:t>
      </w:r>
      <w:r>
        <w:rPr>
          <w:rFonts w:ascii="Times New Roman" w:hAnsi="Times New Roman"/>
          <w:b w:val="false"/>
          <w:i w:val="false"/>
          <w:color w:val="000000"/>
          <w:sz w:val="22"/>
        </w:rPr>
        <w:t> </w:t>
      </w:r>
      <w:r>
        <w:rPr>
          <w:rFonts w:ascii="Times New Roman" w:hAnsi="Times New Roman"/>
          <w:b w:val="false"/>
          <w:i/>
          <w:color w:val="000000"/>
          <w:sz w:val="22"/>
        </w:rPr>
        <w:t xml:space="preserve">Term of license. </w:t>
      </w:r>
      <w:r>
        <w:rPr>
          <w:rFonts w:ascii="Times New Roman" w:hAnsi="Times New Roman"/>
          <w:b w:val="false"/>
          <w:i w:val="false"/>
          <w:color w:val="000000"/>
          <w:sz w:val="22"/>
        </w:rPr>
        <w:t xml:space="preserve">A public adjuster license shall remain in effect for a term of two years, unless revoked, terminated or suspended, and may be continually renewed as long as the request for renewal is received, the fee set forth in rule </w:t>
      </w:r>
      <w:hyperlink r:id="rId6">
        <w:r>
          <w:rPr>
            <w:rStyle w:val="Hyperlink"/>
            <w:rFonts w:ascii="Times New Roman" w:hAnsi="Times New Roman"/>
            <w:b w:val="false"/>
            <w:i w:val="false"/>
            <w:color w:val="000000"/>
            <w:sz w:val="22"/>
          </w:rPr>
          <w:t>191—55.20</w:t>
        </w:r>
      </w:hyperlink>
      <w:r>
        <w:rPr>
          <w:rFonts w:ascii="Times New Roman" w:hAnsi="Times New Roman"/>
          <w:b w:val="false"/>
          <w:i w:val="false"/>
          <w:color w:val="000000"/>
          <w:sz w:val="22"/>
        </w:rPr>
        <w:t>(522C) is paid, and any other requirements for license renewal are met by the renewal due date. The license term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an individual public adjuster, the two-year-and-one-month period of time beginning on the first day of the public adjuster’s birth month and ending on the last day of the public adjuster’s birth month in the renewal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business entity public adjuster, the two-year-and-one-month period of time, including the year of application, beginning on the first day of the month of the business entity’s formation date and ending on the last day of the month of the business entity’s formation date. By arrangement with the division, a business entity may choose a different month for its license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55.9(3)</w:t>
      </w:r>
      <w:r>
        <w:rPr>
          <w:rFonts w:ascii="Times New Roman" w:hAnsi="Times New Roman"/>
          <w:b w:val="false"/>
          <w:i w:val="false"/>
          <w:color w:val="000000"/>
          <w:sz w:val="22"/>
        </w:rPr>
        <w:t> </w:t>
      </w:r>
      <w:r>
        <w:rPr>
          <w:rFonts w:ascii="Times New Roman" w:hAnsi="Times New Roman"/>
          <w:b w:val="false"/>
          <w:i/>
          <w:color w:val="000000"/>
          <w:sz w:val="22"/>
        </w:rPr>
        <w:t xml:space="preserve">Suspension for returned payment. </w:t>
      </w:r>
      <w:r>
        <w:rPr>
          <w:rFonts w:ascii="Times New Roman" w:hAnsi="Times New Roman"/>
          <w:b w:val="false"/>
          <w:i w:val="false"/>
          <w:color w:val="000000"/>
          <w:sz w:val="22"/>
        </w:rPr>
        <w:t>If the division issues or renews a public adjuster license and subsequently determines that payment by check for the license or renewal was returned to the division by a bank without payment, or that the credit card company does not approve or cancels or refuses amounts charged to the credit card, the license shall be immediately suspended until the payments are made and any fees or penalties charged by the division are paid, at which time the license may be reinstated. The individual may request a hearing within 30 days of receipt of notice by the division that the license was suspended.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55.9(4)</w:t>
      </w:r>
      <w:r>
        <w:rPr>
          <w:rFonts w:ascii="Times New Roman" w:hAnsi="Times New Roman"/>
          <w:b w:val="false"/>
          <w:i w:val="false"/>
          <w:color w:val="000000"/>
          <w:sz w:val="22"/>
        </w:rPr>
        <w:t> </w:t>
      </w:r>
      <w:r>
        <w:rPr>
          <w:rFonts w:ascii="Times New Roman" w:hAnsi="Times New Roman"/>
          <w:b w:val="false"/>
          <w:i/>
          <w:color w:val="000000"/>
          <w:sz w:val="22"/>
        </w:rPr>
        <w:t xml:space="preserve">Change in name, address or state of residence.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Name change. </w:t>
      </w:r>
      <w:r>
        <w:rPr>
          <w:rFonts w:ascii="Times New Roman" w:hAnsi="Times New Roman"/>
          <w:b w:val="false"/>
          <w:i w:val="false"/>
          <w:color w:val="000000"/>
          <w:sz w:val="22"/>
        </w:rPr>
        <w:t>If a licensed public adjuster’s name is changed, the licensed public adjuster must file notification with the division within 30 days of the name change. The notification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The licensed public adjuster’s former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The licensed public adjuster’s license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 The licensed public adjuster’s new name;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a legal document with proof of the name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Address change. </w:t>
      </w:r>
      <w:r>
        <w:rPr>
          <w:rFonts w:ascii="Times New Roman" w:hAnsi="Times New Roman"/>
          <w:b w:val="false"/>
          <w:i w:val="false"/>
          <w:color w:val="000000"/>
          <w:sz w:val="22"/>
        </w:rPr>
        <w:t>If a licensed public adjuster’s address is changed, including an email address, the licensed public adjuster must file notification with the division within 30 days of the address change. Notification may be filed through the NIPR Gateway, if available, or as instructed on the division’s website. The notification must include the licensed public adjuster’s: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Previous address;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New address. A licensed public adjuster may designate a business address instead of a resident address at the option of the licensed public adjuster.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Change in state of residence. </w:t>
      </w:r>
      <w:r>
        <w:rPr>
          <w:rFonts w:ascii="Times New Roman" w:hAnsi="Times New Roman"/>
          <w:b w:val="false"/>
          <w:i w:val="false"/>
          <w:color w:val="000000"/>
          <w:sz w:val="22"/>
        </w:rPr>
        <w:t xml:space="preserve">A nonresident licensed public adjuster who moves from one state to another state or an Iowa resident licensed public adjuster who moves to another state and wishes to retain an Iowa license must comply with subrule </w:t>
      </w:r>
      <w:hyperlink r:id="rId7">
        <w:r>
          <w:rPr>
            <w:rStyle w:val="Hyperlink"/>
            <w:rFonts w:ascii="Times New Roman" w:hAnsi="Times New Roman"/>
            <w:b w:val="false"/>
            <w:i w:val="false"/>
            <w:color w:val="000000"/>
            <w:sz w:val="22"/>
          </w:rPr>
          <w:t>55.8(3)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55.9(5)</w:t>
      </w:r>
      <w:r>
        <w:rPr>
          <w:rFonts w:ascii="Times New Roman" w:hAnsi="Times New Roman"/>
          <w:b w:val="false"/>
          <w:i w:val="false"/>
          <w:color w:val="000000"/>
          <w:sz w:val="22"/>
        </w:rPr>
        <w:t> </w:t>
      </w:r>
      <w:r>
        <w:rPr>
          <w:rFonts w:ascii="Times New Roman" w:hAnsi="Times New Roman"/>
          <w:b w:val="false"/>
          <w:i/>
          <w:color w:val="000000"/>
          <w:sz w:val="22"/>
        </w:rPr>
        <w:t xml:space="preserve">Reporting of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public adjuster shall report to the division any administrative action taken against the licensed public adjuster in another jurisdiction or by another governmental agency in this state within 30 days of the final disposition of the matter. This report shall include a copy of the order, consent to order, or other relevant legal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30 days of the initial pretrial hearing date, a licensed public adjuster shall report to the division any criminal prosecution of the licensed public adjuster taken in any jurisdiction. The report shall include a copy of the initial complaint filed, the order resulting from the hearing, and any other relevant legal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licensed public adjuster shall report to the division all child support recovery unit actions taken under or in connection with Iowa Code chapter  </w:t>
      </w:r>
      <w:hyperlink r:id="rId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all court orders entered in such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55.9(6)</w:t>
      </w:r>
      <w:r>
        <w:rPr>
          <w:rFonts w:ascii="Times New Roman" w:hAnsi="Times New Roman"/>
          <w:b w:val="false"/>
          <w:i w:val="false"/>
          <w:color w:val="000000"/>
          <w:sz w:val="22"/>
        </w:rPr>
        <w:t> </w:t>
      </w:r>
      <w:r>
        <w:rPr>
          <w:rFonts w:ascii="Times New Roman" w:hAnsi="Times New Roman"/>
          <w:b w:val="false"/>
          <w:i/>
          <w:color w:val="000000"/>
          <w:sz w:val="22"/>
        </w:rPr>
        <w:t xml:space="preserve">Failure to notify. </w:t>
      </w:r>
      <w:r>
        <w:rPr>
          <w:rFonts w:ascii="Times New Roman" w:hAnsi="Times New Roman"/>
          <w:b w:val="false"/>
          <w:i w:val="false"/>
          <w:color w:val="000000"/>
          <w:sz w:val="22"/>
        </w:rPr>
        <w:t xml:space="preserve">Failure to notify the division or to file reports required by this rule is a violation of this chapter and will subject licensed public adjusters to penalty pursuant to rule </w:t>
      </w:r>
      <w:hyperlink r:id="rId9">
        <w:r>
          <w:rPr>
            <w:rStyle w:val="Hyperlink"/>
            <w:rFonts w:ascii="Times New Roman" w:hAnsi="Times New Roman"/>
            <w:b w:val="false"/>
            <w:i w:val="false"/>
            <w:color w:val="000000"/>
            <w:sz w:val="22"/>
          </w:rPr>
          <w:t>191—55.19</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55.9(7)</w:t>
      </w:r>
      <w:r>
        <w:rPr>
          <w:rFonts w:ascii="Times New Roman" w:hAnsi="Times New Roman"/>
          <w:b w:val="false"/>
          <w:i w:val="false"/>
          <w:color w:val="000000"/>
          <w:sz w:val="22"/>
        </w:rPr>
        <w:t> </w:t>
      </w:r>
      <w:r>
        <w:rPr>
          <w:rFonts w:ascii="Times New Roman" w:hAnsi="Times New Roman"/>
          <w:b w:val="false"/>
          <w:i/>
          <w:color w:val="000000"/>
          <w:sz w:val="22"/>
        </w:rPr>
        <w:t xml:space="preserve">Renewal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licensed as a public adjuster must apply for renewal of the license prior to the expiration date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Public adjuster licenses may be renewed only through the NIPR Gateway, or as otherwise directed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renew a license and to pay appropriate fees prior to the expiration date of the license will result in expiration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 public adjuster may reinstate an expired license up to 12 months after the license expiration date by proving that during the applicable continuing education term, the public adjuster met the continuing education requirements found in rule </w:t>
      </w:r>
      <w:hyperlink r:id="rId10">
        <w:r>
          <w:rPr>
            <w:rStyle w:val="Hyperlink"/>
            <w:rFonts w:ascii="Times New Roman" w:hAnsi="Times New Roman"/>
            <w:b w:val="false"/>
            <w:i w:val="false"/>
            <w:color w:val="000000"/>
            <w:sz w:val="22"/>
          </w:rPr>
          <w:t>191—55.11</w:t>
        </w:r>
      </w:hyperlink>
      <w:r>
        <w:rPr>
          <w:rFonts w:ascii="Times New Roman" w:hAnsi="Times New Roman"/>
          <w:b w:val="false"/>
          <w:i w:val="false"/>
          <w:color w:val="000000"/>
          <w:sz w:val="22"/>
        </w:rPr>
        <w:t xml:space="preserve">(522C) and by paying a reinstatement fee and license renewal fees, as set forth in rule </w:t>
      </w:r>
      <w:hyperlink r:id="rId11">
        <w:r>
          <w:rPr>
            <w:rStyle w:val="Hyperlink"/>
            <w:rFonts w:ascii="Times New Roman" w:hAnsi="Times New Roman"/>
            <w:b w:val="false"/>
            <w:i w:val="false"/>
            <w:color w:val="000000"/>
            <w:sz w:val="22"/>
          </w:rPr>
          <w:t>191—55.20</w:t>
        </w:r>
      </w:hyperlink>
      <w:r>
        <w:rPr>
          <w:rFonts w:ascii="Times New Roman" w:hAnsi="Times New Roman"/>
          <w:b w:val="false"/>
          <w:i w:val="false"/>
          <w:color w:val="000000"/>
          <w:sz w:val="22"/>
        </w:rPr>
        <w:t>(522C). A resident public adjuster who fails to apply for license reinstatement within 12 months of the license expiration date must apply for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nonresident public adjuster may reinstate an expired license up to 12 months after the license expiration date by submitting a request to the division through the NIPR Gateway and by paying a reinstatement fee and license renewal fee. A nonresident public adjuster who fails to apply for license reinstatement within 12 months of the license expiration date or fails to update the nonresident public adjuster’s address pursuant to </w:t>
      </w:r>
      <w:hyperlink r:id="rId12">
        <w:r>
          <w:rPr>
            <w:rStyle w:val="Hyperlink"/>
            <w:rFonts w:ascii="Times New Roman" w:hAnsi="Times New Roman"/>
            <w:b w:val="false"/>
            <w:i w:val="false"/>
            <w:color w:val="000000"/>
            <w:sz w:val="22"/>
          </w:rPr>
          <w:t>subrule 55.9(4)</w:t>
        </w:r>
      </w:hyperlink>
      <w:r>
        <w:rPr>
          <w:rFonts w:ascii="Times New Roman" w:hAnsi="Times New Roman"/>
          <w:b w:val="false"/>
          <w:i w:val="false"/>
          <w:color w:val="000000"/>
          <w:sz w:val="22"/>
        </w:rPr>
        <w:t xml:space="preserve"> must apply for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licensed public adjuster that is unable to comply with license renewal procedures due to military service, a long-term medical disability, or some other extenuating circumstance may make a request to the division for a waiver of those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public adjuster applying for renewal of a license shall submit to the division a copy of the contract the applicant intends to use pursuant to rule </w:t>
      </w:r>
      <w:hyperlink r:id="rId13">
        <w:r>
          <w:rPr>
            <w:rStyle w:val="Hyperlink"/>
            <w:rFonts w:ascii="Times New Roman" w:hAnsi="Times New Roman"/>
            <w:b w:val="false"/>
            <w:i w:val="false"/>
            <w:color w:val="000000"/>
            <w:sz w:val="22"/>
          </w:rPr>
          <w:t>191—55.14</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55.9(8)</w:t>
      </w:r>
      <w:r>
        <w:rPr>
          <w:rFonts w:ascii="Times New Roman" w:hAnsi="Times New Roman"/>
          <w:b w:val="false"/>
          <w:i w:val="false"/>
          <w:color w:val="000000"/>
          <w:sz w:val="22"/>
        </w:rPr>
        <w:t> </w:t>
      </w:r>
      <w:r>
        <w:rPr>
          <w:rFonts w:ascii="Times New Roman" w:hAnsi="Times New Roman"/>
          <w:b w:val="false"/>
          <w:i/>
          <w:color w:val="000000"/>
          <w:sz w:val="22"/>
        </w:rPr>
        <w:t xml:space="preserve">Division functions.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licensed public adjuster has provided an email address to the division, the division has the option to send information to the licensed public adjuster through email rather than through United States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to assist in the performance of the division’s duties, the division may contract with nongovernmental entities, including the NAIC or any affiliates or subsidiaries that the NAIC oversees, to perform any ministerial functions that the division may deem appropriate, including the collection of fees and data related to licensing.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4780C</w:t>
      </w:r>
      <w:r>
        <w:rPr>
          <w:rFonts w:ascii="Times New Roman" w:hAnsi="Times New Roman"/>
          <w:b w:val="false"/>
          <w:i w:val="false"/>
          <w:color w:val="000000"/>
          <w:sz w:val="16"/>
        </w:rPr>
        <w:t>, IAB 11/20/19, effective 12/25/19</w:t>
      </w:r>
      <w:r>
        <w:rPr>
          <w:rFonts w:ascii="Times New Roman" w:hAnsi="Times New Roman"/>
          <w:b w:val="false"/>
          <w:i w:val="false"/>
          <w:color w:val="000000"/>
          <w:sz w:val="16"/>
        </w:rPr>
        <w:t xml:space="preserve">; </w:t>
      </w:r>
      <w:r>
        <w:rPr>
          <w:rFonts w:ascii="Times New Roman" w:hAnsi="Times New Roman"/>
          <w:b/>
          <w:i w:val="false"/>
          <w:color w:val="000000"/>
          <w:sz w:val="16"/>
        </w:rPr>
        <w:t>ARC 4848C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 xml:space="preserve">; </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22C.pdf" Type="http://schemas.openxmlformats.org/officeDocument/2006/relationships/hyperlink" Id="rId4"/>
    <Relationship TargetMode="External" Target="https://www.legis.iowa.gov/docs/ico/chapter/522C.pdf" Type="http://schemas.openxmlformats.org/officeDocument/2006/relationships/hyperlink" Id="rId5"/>
    <Relationship TargetMode="External" Target="https://www.legis.iowa.gov/docs/iac/rule/191.55.20.pdf" Type="http://schemas.openxmlformats.org/officeDocument/2006/relationships/hyperlink" Id="rId6"/>
    <Relationship TargetMode="External" Target="https://www.legis.iowa.gov/docs/iac/rule/191.55.8.pdf" Type="http://schemas.openxmlformats.org/officeDocument/2006/relationships/hyperlink" Id="rId7"/>
    <Relationship TargetMode="External" Target="https://www.legis.iowa.gov/docs/ico/chapter/252J.pdf" Type="http://schemas.openxmlformats.org/officeDocument/2006/relationships/hyperlink" Id="rId8"/>
    <Relationship TargetMode="External" Target="https://www.legis.iowa.gov/docs/iac/rule/191.55.19.pdf" Type="http://schemas.openxmlformats.org/officeDocument/2006/relationships/hyperlink" Id="rId9"/>
    <Relationship TargetMode="External" Target="https://www.legis.iowa.gov/docs/iac/rule/191.55.11.pdf" Type="http://schemas.openxmlformats.org/officeDocument/2006/relationships/hyperlink" Id="rId10"/>
    <Relationship TargetMode="External" Target="https://www.legis.iowa.gov/docs/iac/rule/191.55.20.pdf" Type="http://schemas.openxmlformats.org/officeDocument/2006/relationships/hyperlink" Id="rId11"/>
    <Relationship TargetMode="External" Target="https://www.legis.iowa.gov/docs/iac/rule/191.55.9.pdf" Type="http://schemas.openxmlformats.org/officeDocument/2006/relationships/hyperlink" Id="rId12"/>
    <Relationship TargetMode="External" Target="https://www.legis.iowa.gov/docs/iac/rule/191.55.14.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