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191—55.8</w:t>
      </w:r>
      <w:r>
        <w:rPr>
          <w:rFonts w:ascii="Times New Roman" w:hAnsi="Times New Roman"/>
          <w:b/>
          <w:i w:val="false"/>
          <w:color w:val="000000"/>
          <w:sz w:val="22"/>
        </w:rPr>
        <w:t xml:space="preserve">(522C) </w:t>
      </w:r>
      <w:r>
        <w:rPr>
          <w:rFonts w:ascii="Times New Roman" w:hAnsi="Times New Roman"/>
          <w:b/>
          <w:i w:val="false"/>
          <w:color w:val="000000"/>
          <w:sz w:val="22"/>
        </w:rPr>
        <w:t xml:space="preserve">Nonresident license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denied licensure pursuant to rule </w:t>
      </w:r>
      <w:hyperlink r:id="rId4">
        <w:r>
          <w:rPr>
            <w:rStyle w:val="Hyperlink"/>
            <w:rFonts w:ascii="Times New Roman" w:hAnsi="Times New Roman"/>
            <w:b w:val="false"/>
            <w:i w:val="false"/>
            <w:color w:val="000000"/>
            <w:sz w:val="22"/>
          </w:rPr>
          <w:t>191—55.12</w:t>
        </w:r>
      </w:hyperlink>
      <w:r>
        <w:rPr>
          <w:rFonts w:ascii="Times New Roman" w:hAnsi="Times New Roman"/>
          <w:b w:val="false"/>
          <w:i w:val="false"/>
          <w:color w:val="000000"/>
          <w:sz w:val="22"/>
        </w:rPr>
        <w:t>(522C), an individual or business entity for whom Iowa is not the individual’s or business entity’s home state, but whose home state awards nonresident public adjuster licenses to residents of Iowa on the same basis, must satisfy the following requirements to obtain an Iowa nonresident public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as a resident public adjuster and in good standing in the individual’s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proper request for licensure to the division through the NIPR Gateway;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appropriate fees required, as set forth in rule </w:t>
      </w:r>
      <w:hyperlink r:id="rId5">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trustworthy, reliable, and of good reputation, evidence of which may be determined by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the division the contract the applicant intends to use pursuant to rule </w:t>
      </w:r>
      <w:hyperlink r:id="rId6">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55.8(2)</w:t>
      </w:r>
      <w:r>
        <w:rPr>
          <w:rFonts w:ascii="Times New Roman" w:hAnsi="Times New Roman"/>
          <w:b w:val="false"/>
          <w:i w:val="false"/>
          <w:color w:val="000000"/>
          <w:sz w:val="22"/>
        </w:rPr>
        <w:t> </w:t>
      </w:r>
      <w:r>
        <w:rPr>
          <w:rFonts w:ascii="Times New Roman" w:hAnsi="Times New Roman"/>
          <w:b w:val="false"/>
          <w:i w:val="false"/>
          <w:color w:val="000000"/>
          <w:sz w:val="22"/>
        </w:rPr>
        <w:t>The division may verify the public adjuster’s licensing status through the producer database maintained by the NAIC, its affiliates, or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55.8(3)</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to continuation of a public adjuster license issued under this rule, the licensed public adjuster shall maintain a resident public adjuster license in the licensed public adjuster’s home state. The nonresident public adjuster license issued under this chapter shall terminate and be surrendered immediately to the division if the home state public adjuster license terminates for any reason, unless the individual has been issued a license as a resident public adjuster in the individual’s new home state. The individual shall notify the state or states where nonresident public adjuster licenses are issued as soon as possible, but no later than 30 days after the change to the new state’s resident public adjuster license. The licensed public adjuster shall include both the new and the old addresses in the notice. A new state resident public adjuster license is required for the Iowa nonresident public adjuster license to remain valid. The new state resident public adjuster license must have reciprocity with Iowa as set forth in subrule </w:t>
      </w:r>
      <w:hyperlink r:id="rId7">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for the nonresident public adjuster license not to terminate. No fee or license application is required. If the new resident state is actively participating in the producer database, a letter of certification is not required. A nonresident licensed public adjuster who moves to Iowa and wishes to retain the nonresident license must file a change of address with the division within 90 days of the change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individual’s or business entity’s home state does not license public adjusters or business entity public adjusters or does not award nonresident public adjuster licenses to residents of Iowa on the same basis, the nonresident individual or business entity shall follow the procedures for obtaining a license set out in rule </w:t>
      </w:r>
      <w:hyperlink r:id="rId8">
        <w:r>
          <w:rPr>
            <w:rStyle w:val="Hyperlink"/>
            <w:rFonts w:ascii="Times New Roman" w:hAnsi="Times New Roman"/>
            <w:b w:val="false"/>
            <w:i w:val="false"/>
            <w:color w:val="000000"/>
            <w:sz w:val="22"/>
          </w:rPr>
          <w:t>191—55.5</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55.8(5)</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 applicant to supply any documents reasonably necessary to aid the division in making its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1.55.12.pdf" Type="http://schemas.openxmlformats.org/officeDocument/2006/relationships/hyperlink" Id="rId4"/>
    <Relationship TargetMode="External" Target="https://www.legis.iowa.gov/docs/iac/rule/191.55.20.pdf" Type="http://schemas.openxmlformats.org/officeDocument/2006/relationships/hyperlink" Id="rId5"/>
    <Relationship TargetMode="External" Target="https://www.legis.iowa.gov/docs/iac/rule/191.55.14.pdf" Type="http://schemas.openxmlformats.org/officeDocument/2006/relationships/hyperlink" Id="rId6"/>
    <Relationship TargetMode="External" Target="https://www.legis.iowa.gov/docs/iac/rule/191.55.8.pdf" Type="http://schemas.openxmlformats.org/officeDocument/2006/relationships/hyperlink" Id="rId7"/>
    <Relationship TargetMode="External" Target="https://www.legis.iowa.gov/docs/iac/rule/191.55.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