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191—55.7</w:t>
      </w:r>
      <w:r>
        <w:rPr>
          <w:rFonts w:ascii="Times New Roman" w:hAnsi="Times New Roman"/>
          <w:b/>
          <w:i w:val="false"/>
          <w:color w:val="000000"/>
          <w:sz w:val="22"/>
        </w:rPr>
        <w:t xml:space="preserve">(522C) </w:t>
      </w:r>
      <w:r>
        <w:rPr>
          <w:rFonts w:ascii="Times New Roman" w:hAnsi="Times New Roman"/>
          <w:b/>
          <w:i w:val="false"/>
          <w:color w:val="000000"/>
          <w:sz w:val="22"/>
        </w:rPr>
        <w:t xml:space="preserve">Exemptions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applies for a public adjuster license in this state who was previously licensed as a public adjuster in another state based on a public adjuster examination shall not be required to complete an examination in this state. However, an individual who moves to this state and who was previously licensed as a public adjuster in another state based on a public adjuster examination shall make application within 90 days of establishing legal residence to become a resident licensed public adjuster pursuant to rule </w:t>
      </w:r>
      <w:hyperlink r:id="rId4">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 No examination shall be required of that individual to obtain a public adjuster license. This exemption is available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individual is currently licensed in the other state or if the application is received within 12 months of the cancellation of the applicant’s previous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state issues a certification that the applicant is licensed and in good standing in that state or was licensed and in good standing at the time of cancellation or if the state’s producer database records, or records maintained by the NAIC, its affiliates, or subsidiaries, indicate that the public adjuster is or was licensed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val="false"/>
          <w:color w:val="000000"/>
          <w:sz w:val="22"/>
        </w:rPr>
        <w:t>An individual who applies for a public adjuster license in this state who was previously licensed as a public adjuster in this state shall not be required to complete an examination. This exemption is only available if the application is received within 12 months of the termination of the applicant’s previous license in this state and if, at the time of termination, the applicant was in good standing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1.55.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