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191—55.2</w:t>
      </w:r>
      <w:r>
        <w:rPr>
          <w:rFonts w:ascii="Times New Roman" w:hAnsi="Times New Roman"/>
          <w:b/>
          <w:i w:val="false"/>
          <w:color w:val="000000"/>
          <w:sz w:val="22"/>
        </w:rPr>
        <w:t xml:space="preserve">(522C)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4">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“Catastrophic disaster,”</w:t>
      </w:r>
      <w:r>
        <w:rPr>
          <w:rFonts w:ascii="Times New Roman" w:hAnsi="Times New Roman"/>
          <w:b w:val="false"/>
          <w:i w:val="false"/>
          <w:color w:val="000000"/>
          <w:sz w:val="22"/>
        </w:rPr>
        <w:t> </w:t>
      </w:r>
      <w:r>
        <w:rPr>
          <w:rFonts w:ascii="Times New Roman" w:hAnsi="Times New Roman"/>
          <w:b w:val="false"/>
          <w:i w:val="false"/>
          <w:color w:val="000000"/>
          <w:sz w:val="22"/>
        </w:rPr>
        <w:t>according to the Federal Response Plan, means an event that results in large numbers of deaths and injuries; causes extensive damage or destruction of facilities that provide and sustain human needs; produces an overwhelming demand on state and local response resources and mechanisms; causes a severe long-term effect on general economic activity; and severely affects state, local and private sector capabilities to begin and sustain response activities. A catastrophic disaster shall be declared by the President of the United States or the governor of the state or district in which the disaster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“First-party claim”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state”</w:t>
      </w:r>
      <w:r>
        <w:rPr>
          <w:rFonts w:ascii="Times New Roman" w:hAnsi="Times New Roman"/>
          <w:b w:val="false"/>
          <w:i w:val="false"/>
          <w:color w:val="000000"/>
          <w:sz w:val="22"/>
        </w:rPr>
        <w:t> </w:t>
      </w:r>
      <w:r>
        <w:rPr>
          <w:rFonts w:ascii="Times New Roman" w:hAnsi="Times New Roman"/>
          <w:b w:val="false"/>
          <w:i w:val="false"/>
          <w:color w:val="000000"/>
          <w:sz w:val="22"/>
        </w:rPr>
        <w:t>means the District of Columbia and any state or territory of the United States in which the public adjuster’s principal place of residence or principal place of business is located. If neither the state in which the public adjuster maintains the principal place of residence nor the state in which the public adjuster maintains the principal place of business has a substantially similar law governing public adjusters, the public adjuster may declare another state in which it becomes licensed and acts as a public adjuster to be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“Insured”</w:t>
      </w:r>
      <w:r>
        <w:rPr>
          <w:rFonts w:ascii="Times New Roman" w:hAnsi="Times New Roman"/>
          <w:b w:val="false"/>
          <w:i w:val="false"/>
          <w:color w:val="000000"/>
          <w:sz w:val="22"/>
        </w:rPr>
        <w:t> </w:t>
      </w:r>
      <w:r>
        <w:rPr>
          <w:rFonts w:ascii="Times New Roman" w:hAnsi="Times New Roman"/>
          <w:b w:val="false"/>
          <w:i w:val="false"/>
          <w:color w:val="000000"/>
          <w:sz w:val="22"/>
        </w:rPr>
        <w:t>means a person covered under the insurance policy against which the claim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“NAIC”</w:t>
      </w:r>
      <w:r>
        <w:rPr>
          <w:rFonts w:ascii="Times New Roman" w:hAnsi="Times New Roman"/>
          <w:b w:val="false"/>
          <w:i w:val="false"/>
          <w:color w:val="000000"/>
          <w:sz w:val="22"/>
        </w:rPr>
        <w:t> </w:t>
      </w:r>
      <w:r>
        <w:rPr>
          <w:rFonts w:ascii="Times New Roman" w:hAnsi="Times New Roman"/>
          <w:b w:val="false"/>
          <w:i w:val="false"/>
          <w:color w:val="000000"/>
          <w:sz w:val="22"/>
        </w:rPr>
        <w:t>means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Insurance Producer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“NIPR”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nonprofit affiliate of the National Association of Insurance Commissioners (NAIC). The NIPR’s website is </w:t>
      </w:r>
      <w:hyperlink r:id="rId7">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“NIPR Gateway”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communication network developed and operated by the National Insurance Producer Registry that links state insurance regulators with the entities they regulate to facilitate the electronic exchange of, among other things, public adjuster information regarding license applications, license renewals, appointments and 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“Producer database”</w:t>
      </w:r>
      <w:r>
        <w:rPr>
          <w:rFonts w:ascii="Times New Roman" w:hAnsi="Times New Roman"/>
          <w:b w:val="false"/>
          <w:i w:val="false"/>
          <w:color w:val="000000"/>
          <w:sz w:val="22"/>
        </w:rPr>
        <w:t> </w:t>
      </w:r>
      <w:r>
        <w:rPr>
          <w:rFonts w:ascii="Times New Roman" w:hAnsi="Times New Roman"/>
          <w:b w:val="false"/>
          <w:i w:val="false"/>
          <w:color w:val="000000"/>
          <w:sz w:val="22"/>
        </w:rPr>
        <w:t>means the national database of insurance producers maintained by the NAIC.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adjuster”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2C.2.pdf" Type="http://schemas.openxmlformats.org/officeDocument/2006/relationships/hyperlink" Id="rId4"/>
    <Relationship TargetMode="External" Target="https://www.legis.iowa.gov/docs/iac/rule/191.1.1.pdf" Type="http://schemas.openxmlformats.org/officeDocument/2006/relationships/hyperlink" Id="rId5"/>
    <Relationship TargetMode="External" Target="https://www.legis.iowa.gov/docs/ico/chapter/522C.2.pdf" Type="http://schemas.openxmlformats.org/officeDocument/2006/relationships/hyperlink" Id="rId6"/>
    <Relationship TargetMode="External" Target="http://www.NIPR.com" Type="http://schemas.openxmlformats.org/officeDocument/2006/relationships/hyperlink" Id="rId7"/>
    <Relationship TargetMode="External" Target="https://www.legis.iowa.gov/docs/ico/chapter/522C.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