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191—55.16</w:t>
      </w:r>
      <w:r>
        <w:rPr>
          <w:rFonts w:ascii="Times New Roman" w:hAnsi="Times New Roman"/>
          <w:b/>
          <w:i w:val="false"/>
          <w:color w:val="000000"/>
          <w:sz w:val="22"/>
        </w:rPr>
        <w:t xml:space="preserve">(522C) </w:t>
      </w:r>
      <w:r>
        <w:rPr>
          <w:rFonts w:ascii="Times New Roman" w:hAnsi="Times New Roman"/>
          <w:b/>
          <w:i w:val="false"/>
          <w:color w:val="000000"/>
          <w:sz w:val="22"/>
        </w:rPr>
        <w:t xml:space="preserve">Record retention.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55.16(1)</w:t>
      </w:r>
      <w:r>
        <w:rPr>
          <w:rFonts w:ascii="Times New Roman" w:hAnsi="Times New Roman"/>
          <w:b w:val="false"/>
          <w:i w:val="false"/>
          <w:color w:val="000000"/>
          <w:sz w:val="22"/>
        </w:rPr>
        <w:t> </w:t>
      </w:r>
      <w:r>
        <w:rPr>
          <w:rFonts w:ascii="Times New Roman" w:hAnsi="Times New Roman"/>
          <w:b w:val="false"/>
          <w:i w:val="false"/>
          <w:color w:val="000000"/>
          <w:sz w:val="22"/>
        </w:rPr>
        <w:t>A public adjuster shall maintain a complete record of each transaction as a public adjuster. The records required by this rule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location and amount of the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contract between the public adjuster and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of the insurer, amount, expiration date and number of each policy carried with respect to the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itemized statement of the insured’s recoveries;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itemized statement of all compensation received by the public adjuster, from any source whatsoever, in connection with the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register of all moneys received, deposited, disbursed, or withdrawn in connection with a transaction with an insured, including fees, transfers and disbursements from a trust account and all transactions concerning all interest-bearing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 of the public adjuster who executed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of the attorney representing the insured, if applicable, and the name of the claims representative of the insurance company;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Evidence of financial responsibility in a format prescribed by the insurance division;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All records related to the authorization and notice requirements of </w:t>
      </w:r>
      <w:hyperlink r:id="rId4">
        <w:r>
          <w:rPr>
            <w:rStyle w:val="Hyperlink"/>
            <w:rFonts w:ascii="Times New Roman" w:hAnsi="Times New Roman"/>
            <w:b w:val="false"/>
            <w:i w:val="false"/>
            <w:color w:val="000000"/>
            <w:sz w:val="22"/>
          </w:rPr>
          <w:t>subrule 55.17(14)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55.16(2)</w:t>
      </w:r>
      <w:r>
        <w:rPr>
          <w:rFonts w:ascii="Times New Roman" w:hAnsi="Times New Roman"/>
          <w:b w:val="false"/>
          <w:i w:val="false"/>
          <w:color w:val="000000"/>
          <w:sz w:val="22"/>
        </w:rPr>
        <w:t> </w:t>
      </w:r>
      <w:r>
        <w:rPr>
          <w:rFonts w:ascii="Times New Roman" w:hAnsi="Times New Roman"/>
          <w:b w:val="false"/>
          <w:i w:val="false"/>
          <w:color w:val="000000"/>
          <w:sz w:val="22"/>
        </w:rPr>
        <w:t>Records shall be maintained for at least five years after the termination of the transaction with an insured and shall be open to examination by the division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55.16(3)</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submitted to the division in accordance with this rule that contain information identified in writing as proprietary by the public adjuster shall be treated as confidential by the division and shall not be subject to Iowa Code chapter </w:t>
      </w:r>
      <w:hyperlink r:id="rId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6120C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1.55.17.pdf" Type="http://schemas.openxmlformats.org/officeDocument/2006/relationships/hyperlink" Id="rId4"/>
    <Relationship TargetMode="External" Target="https://www.legis.iowa.gov/docs/ico/chapter/22.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