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191—55.13</w:t>
      </w:r>
      <w:r>
        <w:rPr>
          <w:rFonts w:ascii="Times New Roman" w:hAnsi="Times New Roman"/>
          <w:b/>
          <w:i w:val="false"/>
          <w:color w:val="000000"/>
          <w:sz w:val="22"/>
        </w:rPr>
        <w:t xml:space="preserve">(522C)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means the reinstatement of a suspended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“reissuance” as used in this rule means the issuance of a new license following the revocation of a license, the suspension and subsequent termination of a license, or the forfeiture of a license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the reinstatement of an expired license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required. </w:t>
      </w:r>
      <w:r>
        <w:rPr>
          <w:rFonts w:ascii="Times New Roman" w:hAnsi="Times New Roman"/>
          <w:b w:val="false"/>
          <w:i w:val="false"/>
          <w:color w:val="000000"/>
          <w:sz w:val="22"/>
        </w:rPr>
        <w:t>Any person licensed in Iowa as a public adjuster whose license has been revoked or suspended by order, or who forfeited a license in connection with a disciplinary matter, may apply to the commissioner for reinstatement or reissuance in accordance with the terms of the order of revocation or suspension or the order accepting the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or reissuance shall be initiated by the applicant who shall file with the commissioner an application for reinstatement or reissuance of a license. As part of the application, the applicant shall submit to a criminal history check pursuant to Iowa Code section </w:t>
      </w:r>
      <w:hyperlink r:id="rId4">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or reissuance shall allege facts which, if established, will be sufficient to enable the commissioner to determine that the basis of revocation, suspension or forfeiture of the applicant’s license no longer exists and that it will be in the public interest for the application to be granted. 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may request reinstatement of a suspended license prior to the end of the suspension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or suspension did not establish terms upon which reinstatement or reissuance may occur, or if the license was forfeited, an initial application for reinstatement or reissuance may not be made until at least one year has elapsed from the date of the order of the suspension (notwithstanding paragraph </w:t>
      </w:r>
      <w:hyperlink r:id="rId5">
        <w:r>
          <w:rPr>
            <w:rStyle w:val="Hyperlink"/>
            <w:rFonts w:ascii="Times New Roman" w:hAnsi="Times New Roman"/>
            <w:b w:val="false"/>
            <w:i w:val="false"/>
            <w:color w:val="000000"/>
            <w:sz w:val="22"/>
          </w:rPr>
          <w:t>55.13(2)</w:t>
        </w:r>
      </w:hyperlink>
      <w:r>
        <w:rPr>
          <w:rFonts w:ascii="Times New Roman" w:hAnsi="Times New Roman"/>
          <w:b w:val="false"/>
          <w:i/>
          <w:color w:val="000000"/>
          <w:sz w:val="22"/>
        </w:rPr>
        <w:t>“c”</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original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55.13(4)</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An order of reinstatement or reissuance shall be based upon a written decision which incorporates findings of fact and conclusions of law. An order granting an application for reinstatement or reissuance may impose such terms and conditions as the commissioner or the commissioner’s designee deems desirable, which may include one or more of the types of disciplinary sanctions provided by this chapter and Iowa Code chapter </w:t>
      </w:r>
      <w:hyperlink r:id="rId7">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The order shall be a public record, available to the public, and may be disseminated in accordance with Iowa Code chapters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55.13(5)</w:t>
      </w:r>
      <w:r>
        <w:rPr>
          <w:rFonts w:ascii="Times New Roman" w:hAnsi="Times New Roman"/>
          <w:b w:val="false"/>
          <w:i w:val="false"/>
          <w:color w:val="000000"/>
          <w:sz w:val="22"/>
        </w:rPr>
        <w:t> </w:t>
      </w:r>
      <w:r>
        <w:rPr>
          <w:rFonts w:ascii="Times New Roman" w:hAnsi="Times New Roman"/>
          <w:b w:val="false"/>
          <w:i/>
          <w:color w:val="000000"/>
          <w:sz w:val="22"/>
        </w:rPr>
        <w:t xml:space="preserve">Suspension in relation to expiration date. </w:t>
      </w:r>
      <w:r>
        <w:rPr>
          <w:rFonts w:ascii="Times New Roman" w:hAnsi="Times New Roman"/>
          <w:b w:val="false"/>
          <w:i w:val="false"/>
          <w:color w:val="000000"/>
          <w:sz w:val="22"/>
        </w:rPr>
        <w:t xml:space="preserve">When a public adjuster’s license has been suspended for a period of time which extends beyond the public adjuster’s license expiration date, the license will terminate at the license expiration date and the public adjuster must request reinstatement pursuant to subrule </w:t>
      </w:r>
      <w:hyperlink r:id="rId10">
        <w:r>
          <w:rPr>
            <w:rStyle w:val="Hyperlink"/>
            <w:rFonts w:ascii="Times New Roman" w:hAnsi="Times New Roman"/>
            <w:b w:val="false"/>
            <w:i w:val="false"/>
            <w:color w:val="000000"/>
            <w:sz w:val="22"/>
          </w:rPr>
          <w:t>55.10(2)</w:t>
        </w:r>
      </w:hyperlink>
      <w:r>
        <w:rPr>
          <w:rFonts w:ascii="Times New Roman" w:hAnsi="Times New Roman"/>
          <w:b w:val="false"/>
          <w:i w:val="false"/>
          <w:color w:val="000000"/>
          <w:sz w:val="22"/>
        </w:rPr>
        <w:t>. If suspension for a period of time ends prior to the public adjuster’s license expiration date and the public adjuster has met all applicable requirements, the division shall reinstate the license as soon as practicable but no earlier than the end of the suspension period. The commissioner is not prohibited from denying reinstatement or bringing an additional immediate action if the public adjuster has engaged in misconduct during the period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55.13(6)</w:t>
      </w:r>
      <w:r>
        <w:rPr>
          <w:rFonts w:ascii="Times New Roman" w:hAnsi="Times New Roman"/>
          <w:b w:val="false"/>
          <w:i w:val="false"/>
          <w:color w:val="000000"/>
          <w:sz w:val="22"/>
        </w:rPr>
        <w:t> </w:t>
      </w:r>
      <w:r>
        <w:rPr>
          <w:rFonts w:ascii="Times New Roman" w:hAnsi="Times New Roman"/>
          <w:b w:val="false"/>
          <w:i/>
          <w:color w:val="000000"/>
          <w:sz w:val="22"/>
        </w:rPr>
        <w:t xml:space="preserve">Voluntary forfeiture. </w:t>
      </w:r>
      <w:r>
        <w:rPr>
          <w:rFonts w:ascii="Times New Roman" w:hAnsi="Times New Roman"/>
          <w:b w:val="false"/>
          <w:i w:val="false"/>
          <w:color w:val="000000"/>
          <w:sz w:val="22"/>
        </w:rPr>
        <w:t>A submission of voluntary forfeiture of a license shall be made in writing to the commissioner. Forfeiture of a license is effective upon submission unless a contested case proceeding is pending at the time of submission. If a contested case proceeding is pending, the forfeiture shall become effective when and upon such conditions as required by order of the commissioner. A forfeiture made during the pendency of a contested case proceeding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55.13(7)</w:t>
      </w:r>
      <w:r>
        <w:rPr>
          <w:rFonts w:ascii="Times New Roman" w:hAnsi="Times New Roman"/>
          <w:b w:val="false"/>
          <w:i w:val="false"/>
          <w:color w:val="000000"/>
          <w:sz w:val="22"/>
        </w:rPr>
        <w:t> </w:t>
      </w:r>
      <w:r>
        <w:rPr>
          <w:rFonts w:ascii="Times New Roman" w:hAnsi="Times New Roman"/>
          <w:b w:val="false"/>
          <w:i/>
          <w:color w:val="000000"/>
          <w:sz w:val="22"/>
        </w:rPr>
        <w:t xml:space="preserve">Forfeiture in lieu of compliance. </w:t>
      </w:r>
      <w:r>
        <w:rPr>
          <w:rFonts w:ascii="Times New Roman" w:hAnsi="Times New Roman"/>
          <w:b w:val="false"/>
          <w:i w:val="false"/>
          <w:color w:val="000000"/>
          <w:sz w:val="22"/>
        </w:rPr>
        <w:t xml:space="preserve">A license may be voluntarily forfeited in lieu of compliance with an order of the commissioner or the commissioner’s designee with the written consent of the commissioner. The forfeiture shall become effective when and upon such conditions as required by order of the commissioner, which may include one or more of the types of disciplinary sanctions provided by this chapter and Iowa Code chapter </w:t>
      </w:r>
      <w:hyperlink r:id="rId11">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2B.5A.pdf" Type="http://schemas.openxmlformats.org/officeDocument/2006/relationships/hyperlink" Id="rId4"/>
    <Relationship TargetMode="External" Target="https://www.legis.iowa.gov/docs/iac/rule/191.55.1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522C.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505.pdf" Type="http://schemas.openxmlformats.org/officeDocument/2006/relationships/hyperlink" Id="rId9"/>
    <Relationship TargetMode="External" Target="https://www.legis.iowa.gov/docs/iac/rule/191.55.10.pdf" Type="http://schemas.openxmlformats.org/officeDocument/2006/relationships/hyperlink" Id="rId10"/>
    <Relationship TargetMode="External" Target="https://www.legis.iowa.gov/docs/ico/chapter/52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