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191—55.11</w:t>
      </w:r>
      <w:r>
        <w:rPr>
          <w:rFonts w:ascii="Times New Roman" w:hAnsi="Times New Roman"/>
          <w:b/>
          <w:i w:val="false"/>
          <w:color w:val="000000"/>
          <w:sz w:val="22"/>
        </w:rPr>
        <w:t xml:space="preserve">(522C)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w:t>
      </w:r>
      <w:r>
        <w:rPr>
          <w:rFonts w:ascii="Times New Roman" w:hAnsi="Times New Roman"/>
          <w:b w:val="false"/>
          <w:i w:val="false"/>
          <w:color w:val="000000"/>
          <w:sz w:val="22"/>
        </w:rPr>
        <w:t> </w:t>
      </w:r>
      <w:r>
        <w:rPr>
          <w:rFonts w:ascii="Times New Roman" w:hAnsi="Times New Roman"/>
          <w:b w:val="false"/>
          <w:i w:val="false"/>
          <w:color w:val="000000"/>
          <w:sz w:val="22"/>
        </w:rPr>
        <w:t>An individual who holds a public adjuster license shall satisfactorily complete a minimum of 24 credits of continuing education, including 2 credits of ethics, reported on a biennial basis in conjunction with the license renewal cycle. “Credit” means 50 minutes of instruction or reading material in an acceptable topic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a licensed public adjuster holding a nonresident public adjuster license who has met the continuing education requirements of the adjuster’s home state and whose home state gives credit to residents of this state on the same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w:t>
      </w:r>
      <w:r>
        <w:rPr>
          <w:rFonts w:ascii="Times New Roman" w:hAnsi="Times New Roman"/>
          <w:b w:val="false"/>
          <w:i w:val="false"/>
          <w:color w:val="000000"/>
          <w:sz w:val="22"/>
        </w:rPr>
        <w:t> </w:t>
      </w:r>
      <w:r>
        <w:rPr>
          <w:rFonts w:ascii="Times New Roman" w:hAnsi="Times New Roman"/>
          <w:b w:val="false"/>
          <w:i w:val="false"/>
          <w:color w:val="000000"/>
          <w:sz w:val="22"/>
        </w:rPr>
        <w:t xml:space="preserve">Only continuing education courses approved by the division pursuant to </w:t>
      </w:r>
      <w:hyperlink r:id="rId4">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substituting “public adjuster” for “insurance producer,” shall be used to satisfy the continuing education requirement of subrule </w:t>
      </w:r>
      <w:hyperlink r:id="rId5">
        <w:r>
          <w:rPr>
            <w:rStyle w:val="Hyperlink"/>
            <w:rFonts w:ascii="Times New Roman" w:hAnsi="Times New Roman"/>
            <w:b w:val="false"/>
            <w:i w:val="false"/>
            <w:color w:val="000000"/>
            <w:sz w:val="22"/>
          </w:rPr>
          <w:t>55.11(1)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1.11.pdf" Type="http://schemas.openxmlformats.org/officeDocument/2006/relationships/hyperlink" Id="rId4"/>
    <Relationship TargetMode="External" Target="https://www.legis.iowa.gov/docs/iac/rule/191.55.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