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191—55.10</w:t>
      </w:r>
      <w:r>
        <w:rPr>
          <w:rFonts w:ascii="Times New Roman" w:hAnsi="Times New Roman"/>
          <w:b/>
          <w:i w:val="false"/>
          <w:color w:val="000000"/>
          <w:sz w:val="22"/>
        </w:rPr>
        <w:t xml:space="preserve">(522C) </w:t>
      </w:r>
      <w:r>
        <w:rPr>
          <w:rFonts w:ascii="Times New Roman" w:hAnsi="Times New Roman"/>
          <w:b/>
          <w:i w:val="false"/>
          <w:color w:val="000000"/>
          <w:sz w:val="22"/>
        </w:rPr>
        <w:t xml:space="preserve">Evidence of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a license as an adjuster and for the duration of the license, an applicant shall secure evidence of financial responsibility in a format prescribed by the commissioner. Evidence of financial responsibility must provide coverage for damages resulting from an adjuster’s erroneous act, failure to act, fraud, acts in violation of Iowa Code chapter </w:t>
      </w:r>
      <w:hyperlink r:id="rId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or unfair or deceptive act or practice as determined pursuant to Iowa Code chapter </w:t>
      </w:r>
      <w:hyperlink r:id="rId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An independent contractor or an Internal Revenue Service 1099 staff adjuster must maintain the independent contractor’s or the Internal Revenue Service 1099 staff adjuster’s own individual bond or other qualifying financial responsibility unless specifically employed and covered by the adjuster business entity’s qualifying bond or certificate of insurance. The bond or certificate of insurance must be issued by an insurer authorized to transact business in Iowa. Financial responsibility may be satisfied through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Surety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bond. The bond must be individually written in an amount of no less than $50,000 and issued in favor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entity bond. A scheduled or blanket bond provided for an adjuster business entity employing multiple licensed adjusters with a per occurrence limit of $50,000 and a total aggregate exposure limit in any one policy period. Bond amounts according to the number of adjusters are as follows: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Number of Adjusters</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Bond Amount</w:t>
            </w:r>
          </w:p>
        </w:tc>
      </w:tr>
      <w:tr>
        <w:trPr>
          <w:trHeight w:val="70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$250,000, or no less than five </w:t>
            </w:r>
            <w:r>
              <w:br/>
            </w:r>
            <w:r>
              <w:rPr>
                <w:rFonts w:ascii="Times New Roman" w:hAnsi="Times New Roman"/>
                <w:b w:val="false"/>
                <w:i w:val="false"/>
                <w:color w:val="000000"/>
                <w:sz w:val="20"/>
              </w:rPr>
              <w:t>times the required individual</w:t>
            </w:r>
            <w:r>
              <w:br/>
            </w:r>
            <w:r>
              <w:rPr>
                <w:rFonts w:ascii="Times New Roman" w:hAnsi="Times New Roman"/>
                <w:b w:val="false"/>
                <w:i w:val="false"/>
                <w:color w:val="000000"/>
                <w:sz w:val="20"/>
              </w:rPr>
              <w:t xml:space="preserve"> bond of $50,000</w:t>
            </w:r>
          </w:p>
        </w:tc>
      </w:tr>
      <w:tr>
        <w:trPr>
          <w:trHeight w:val="70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21-40</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$500,000, or no less than ten</w:t>
            </w:r>
            <w:r>
              <w:br/>
            </w:r>
            <w:r>
              <w:rPr>
                <w:rFonts w:ascii="Times New Roman" w:hAnsi="Times New Roman"/>
                <w:b w:val="false"/>
                <w:i w:val="false"/>
                <w:color w:val="000000"/>
                <w:sz w:val="20"/>
              </w:rPr>
              <w:t xml:space="preserve"> times the required individual </w:t>
            </w:r>
            <w:r>
              <w:br/>
            </w:r>
            <w:r>
              <w:rPr>
                <w:rFonts w:ascii="Times New Roman" w:hAnsi="Times New Roman"/>
                <w:b w:val="false"/>
                <w:i w:val="false"/>
                <w:color w:val="000000"/>
                <w:sz w:val="20"/>
              </w:rPr>
              <w:t>bond of $50,000</w:t>
            </w:r>
          </w:p>
        </w:tc>
      </w:tr>
      <w:tr>
        <w:trPr>
          <w:trHeight w:val="705"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41 or more</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 million, or no less than</w:t>
            </w:r>
            <w:r>
              <w:br/>
            </w:r>
            <w:r>
              <w:rPr>
                <w:rFonts w:ascii="Times New Roman" w:hAnsi="Times New Roman"/>
                <w:b w:val="false"/>
                <w:i w:val="false"/>
                <w:color w:val="000000"/>
                <w:sz w:val="20"/>
              </w:rPr>
              <w:t xml:space="preserve"> 20 times the required</w:t>
            </w:r>
            <w:r>
              <w:br/>
            </w:r>
            <w:r>
              <w:rPr>
                <w:rFonts w:ascii="Times New Roman" w:hAnsi="Times New Roman"/>
                <w:b w:val="false"/>
                <w:i w:val="false"/>
                <w:color w:val="000000"/>
                <w:sz w:val="20"/>
              </w:rPr>
              <w:t xml:space="preserve"> individual bond of $50,000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liability or errors and omissions certificate of insurance. The coverage provides sufficient coverage for professional liability or acts or omissions in the performance of adjusting services for all affiliated adjusters performing activities pursuant to Iowa Code chapter </w:t>
      </w:r>
      <w:hyperlink r:id="rId6">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individually or on behalf of the business entity, in an amount of no less than $50,000 per adjuster and with an aggregate limit of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 The irrevocable letter of credit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issued by a qualified financial institution chartered under federal or state law, regulated and supervised by federal or state authorities, and authorized to transact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in the minimum amount of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subject to lawful levy of execution on behalf of any person to whom the adjuster has been found to be legally liable as the result of an adjuster’s erroneous act, failure to act, fraud, acts in violation of Iowa Code chapter </w:t>
      </w:r>
      <w:hyperlink r:id="rId7">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or unfair or deceptive act or practice as determined pursuant to Iowa Code chapter </w:t>
      </w:r>
      <w:hyperlink r:id="rId8">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written notice of termination to the licensee at least 30 days prior to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55.10(2)</w:t>
      </w:r>
      <w:r>
        <w:rPr>
          <w:rFonts w:ascii="Times New Roman" w:hAnsi="Times New Roman"/>
          <w:b w:val="false"/>
          <w:i w:val="false"/>
          <w:color w:val="000000"/>
          <w:sz w:val="22"/>
        </w:rPr>
        <w:t> </w:t>
      </w:r>
      <w:r>
        <w:rPr>
          <w:rFonts w:ascii="Times New Roman" w:hAnsi="Times New Roman"/>
          <w:b w:val="false"/>
          <w:i w:val="false"/>
          <w:color w:val="000000"/>
          <w:sz w:val="22"/>
        </w:rPr>
        <w:t>The division may request evidence of financial responsibility at any time the division deems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55.10(3)</w:t>
      </w:r>
      <w:r>
        <w:rPr>
          <w:rFonts w:ascii="Times New Roman" w:hAnsi="Times New Roman"/>
          <w:b w:val="false"/>
          <w:i w:val="false"/>
          <w:color w:val="000000"/>
          <w:sz w:val="22"/>
        </w:rPr>
        <w:t> </w:t>
      </w:r>
      <w:r>
        <w:rPr>
          <w:rFonts w:ascii="Times New Roman" w:hAnsi="Times New Roman"/>
          <w:b w:val="false"/>
          <w:i w:val="false"/>
          <w:color w:val="000000"/>
          <w:sz w:val="22"/>
        </w:rPr>
        <w:t>An adjuster shall immediately notify the division if evidence of financial responsibility terminates or becomes impaired. The authority to act as an adjuster shall automatically terminate if the evidence of financial responsibility terminates or becomes impaired.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0308D</w:t>
      </w:r>
      <w:r>
        <w:rPr>
          <w:rFonts w:ascii="Times New Roman" w:hAnsi="Times New Roman"/>
          <w:b w:val="false"/>
          <w:i w:val="false"/>
          <w:color w:val="000000"/>
          <w:sz w:val="16"/>
        </w:rPr>
        <w:t>, IAB 5/27/26, effective 5/5/26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2C.pdf" Type="http://schemas.openxmlformats.org/officeDocument/2006/relationships/hyperlink" Id="rId4"/>
    <Relationship TargetMode="External" Target="https://www.legis.iowa.gov/docs/ico/chapter/507B.pdf" Type="http://schemas.openxmlformats.org/officeDocument/2006/relationships/hyperlink" Id="rId5"/>
    <Relationship TargetMode="External" Target="https://www.legis.iowa.gov/docs/ico/chapter/522C.pdf" Type="http://schemas.openxmlformats.org/officeDocument/2006/relationships/hyperlink" Id="rId6"/>
    <Relationship TargetMode="External" Target="https://www.legis.iowa.gov/docs/ico/chapter/522C.pdf" Type="http://schemas.openxmlformats.org/officeDocument/2006/relationships/hyperlink" Id="rId7"/>
    <Relationship TargetMode="External" Target="https://www.legis.iowa.gov/docs/ico/chapter/507B.pdf" Type="http://schemas.openxmlformats.org/officeDocument/2006/relationships/hyperlink" Id="rId8"/>
    <Relationship TargetMode="External" Target="https://www.legis.iowa.gov/docs/ico/chapter/522C.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