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701—1001.9</w:t>
      </w:r>
      <w:r>
        <w:rPr>
          <w:rFonts w:ascii="Times New Roman" w:hAnsi="Times New Roman"/>
          <w:b/>
          <w:i w:val="false"/>
          <w:color w:val="000000"/>
          <w:sz w:val="22"/>
        </w:rPr>
        <w:t xml:space="preserve">(123) </w:t>
      </w:r>
      <w:r>
        <w:rPr>
          <w:rFonts w:ascii="Times New Roman" w:hAnsi="Times New Roman"/>
          <w:b/>
          <w:i w:val="false"/>
          <w:color w:val="000000"/>
          <w:sz w:val="22"/>
        </w:rPr>
        <w:t xml:space="preserve">Barrel programs. </w:t>
      </w:r>
      <w:r>
        <w:rPr>
          <w:rFonts w:ascii="Times New Roman" w:hAnsi="Times New Roman"/>
          <w:b w:val="false"/>
          <w:i w:val="false"/>
          <w:color w:val="000000"/>
          <w:sz w:val="22"/>
        </w:rPr>
        <w:t>A supplier may offer a barrel program, allowing a class “E” retail alcohol licensee to purchase the bottled contents of a barrel-aged product along with the aging barrel.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1001.9(1)</w:t>
      </w:r>
      <w:r>
        <w:rPr>
          <w:rFonts w:ascii="Times New Roman" w:hAnsi="Times New Roman"/>
          <w:b w:val="false"/>
          <w:i w:val="false"/>
          <w:color w:val="000000"/>
          <w:sz w:val="22"/>
        </w:rPr>
        <w:t> </w:t>
      </w:r>
      <w:r>
        <w:rPr>
          <w:rFonts w:ascii="Times New Roman" w:hAnsi="Times New Roman"/>
          <w:b w:val="false"/>
          <w:i w:val="false"/>
          <w:color w:val="000000"/>
          <w:sz w:val="22"/>
        </w:rPr>
        <w:t>Barrel programs must be uniformly offered to all class “E” retail alcohol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Suppliers may sample barrel-aged products pursuant to rule </w:t>
      </w:r>
      <w:hyperlink r:id="rId4">
        <w:r>
          <w:rPr>
            <w:rStyle w:val="Hyperlink"/>
            <w:rFonts w:ascii="Times New Roman" w:hAnsi="Times New Roman"/>
            <w:b w:val="false"/>
            <w:i w:val="false"/>
            <w:color w:val="000000"/>
            <w:sz w:val="22"/>
          </w:rPr>
          <w:t>701—1003.7</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1001.9(3)</w:t>
      </w:r>
      <w:r>
        <w:rPr>
          <w:rFonts w:ascii="Times New Roman" w:hAnsi="Times New Roman"/>
          <w:b w:val="false"/>
          <w:i w:val="false"/>
          <w:color w:val="000000"/>
          <w:sz w:val="22"/>
        </w:rPr>
        <w:t> </w:t>
      </w:r>
      <w:r>
        <w:rPr>
          <w:rFonts w:ascii="Times New Roman" w:hAnsi="Times New Roman"/>
          <w:b w:val="false"/>
          <w:i w:val="false"/>
          <w:color w:val="000000"/>
          <w:sz w:val="22"/>
        </w:rPr>
        <w:t>Barrel program products shall be classified as special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1001.9(4)</w:t>
      </w:r>
      <w:r>
        <w:rPr>
          <w:rFonts w:ascii="Times New Roman" w:hAnsi="Times New Roman"/>
          <w:b w:val="false"/>
          <w:i w:val="false"/>
          <w:color w:val="000000"/>
          <w:sz w:val="22"/>
        </w:rPr>
        <w:t> </w:t>
      </w:r>
      <w:r>
        <w:rPr>
          <w:rFonts w:ascii="Times New Roman" w:hAnsi="Times New Roman"/>
          <w:b w:val="false"/>
          <w:i w:val="false"/>
          <w:color w:val="000000"/>
          <w:sz w:val="22"/>
        </w:rPr>
        <w:t>Products purchased as part of a barrel program must be sold and delivered to the class “E” retail alcohol licensee that placed the special order. Barrel program products may be split between two or more class “E” retail alcohol licensees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1001.9(5)</w:t>
      </w:r>
      <w:r>
        <w:rPr>
          <w:rFonts w:ascii="Times New Roman" w:hAnsi="Times New Roman"/>
          <w:b w:val="false"/>
          <w:i w:val="false"/>
          <w:color w:val="000000"/>
          <w:sz w:val="22"/>
        </w:rPr>
        <w:t> </w:t>
      </w:r>
      <w:r>
        <w:rPr>
          <w:rFonts w:ascii="Times New Roman" w:hAnsi="Times New Roman"/>
          <w:b w:val="false"/>
          <w:i w:val="false"/>
          <w:color w:val="000000"/>
          <w:sz w:val="22"/>
        </w:rPr>
        <w:t>Aging barrels sold in conjunction with a barrel program must bear conspicuous and substantial advertising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1001.9(6)</w:t>
      </w:r>
      <w:r>
        <w:rPr>
          <w:rFonts w:ascii="Times New Roman" w:hAnsi="Times New Roman"/>
          <w:b w:val="false"/>
          <w:i w:val="false"/>
          <w:color w:val="000000"/>
          <w:sz w:val="22"/>
        </w:rPr>
        <w:t> </w:t>
      </w:r>
      <w:r>
        <w:rPr>
          <w:rFonts w:ascii="Times New Roman" w:hAnsi="Times New Roman"/>
          <w:b w:val="false"/>
          <w:i w:val="false"/>
          <w:color w:val="000000"/>
          <w:sz w:val="22"/>
        </w:rPr>
        <w:t>Bottles from a barrel program may bear customized labels.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 xml:space="preserve">; </w:t>
      </w:r>
      <w:r>
        <w:rPr>
          <w:rFonts w:ascii="Times New Roman" w:hAnsi="Times New Roman"/>
          <w:b/>
          <w:i w:val="false"/>
          <w:color w:val="000000"/>
          <w:sz w:val="16"/>
        </w:rPr>
        <w:t>ARC 0291D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003.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