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qualifies under the law as an intervenor may intervene in a proceeding for a declaratory order by filing a petition for intervention within 30 days of the notice provided in accordance with rule </w:t>
      </w:r>
      <w:hyperlink r:id="rId4">
        <w:r>
          <w:rPr>
            <w:rStyle w:val="Hyperlink"/>
            <w:rFonts w:ascii="Times New Roman" w:hAnsi="Times New Roman"/>
            <w:b w:val="false"/>
            <w:i w:val="false"/>
            <w:color w:val="000000"/>
            <w:sz w:val="22"/>
          </w:rPr>
          <w:t>7—2503.2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2503.3(2)</w:t>
      </w:r>
      <w:r>
        <w:rPr>
          <w:rFonts w:ascii="Times New Roman" w:hAnsi="Times New Roman"/>
          <w:b w:val="false"/>
          <w:i w:val="false"/>
          <w:color w:val="000000"/>
          <w:sz w:val="22"/>
        </w:rPr>
        <w:t> </w:t>
      </w:r>
      <w:r>
        <w:rPr>
          <w:rFonts w:ascii="Times New Roman" w:hAnsi="Times New Roman"/>
          <w:b w:val="false"/>
          <w:i w:val="false"/>
          <w:color w:val="000000"/>
          <w:sz w:val="22"/>
        </w:rPr>
        <w:t>If a person files a petition for intervention before a proceeding for a declaratory order concludes, the agency has discretion to allow the person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2503.3(3)</w:t>
      </w:r>
      <w:r>
        <w:rPr>
          <w:rFonts w:ascii="Times New Roman" w:hAnsi="Times New Roman"/>
          <w:b w:val="false"/>
          <w:i w:val="false"/>
          <w:color w:val="000000"/>
          <w:sz w:val="22"/>
        </w:rPr>
        <w:t> </w:t>
      </w:r>
      <w:r>
        <w:rPr>
          <w:rFonts w:ascii="Times New Roman" w:hAnsi="Times New Roman"/>
          <w:b w:val="false"/>
          <w:i w:val="false"/>
          <w:color w:val="000000"/>
          <w:sz w:val="22"/>
        </w:rPr>
        <w:t>An intervenor seeking to intervene in a petition for declaratory order is obligated to file the petition for intervention at the agency’s address or agency’s email. The petition for intervention is considered filed when received at either address. The agency will provide the intervenor with a file-stamped copy of the petition upon request. The agency can only accept petitions for intervention that are typewritten or legibly handwritten in ink. Intervenors are also obligated to submit the petition so that it substantially conforms with the following:</w:t>
      </w:r>
    </w:p>
    <w:tbl>
      <w:tblPr>
        <w:tblW w:w="0" w:type="auto"/>
        <w:tblCellSpacing w:w="0" w:type="auto"/>
        <w:tblBorders>
          <w:top w:val="none"/>
          <w:left w:val="none"/>
          <w:bottom w:val="single" w:color="000000" w:sz="8"/>
          <w:right w:val="none"/>
          <w:insideH w:val="none"/>
          <w:insideV w:val="none"/>
        </w:tblBorders>
        <w:tblLayout w:type="fixed"/>
      </w:tblPr>
      <w:tblGrid>
        <w:gridCol w:w="5595"/>
        <w:gridCol w:w="5595"/>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[AGENCY NAME]</w:t>
            </w:r>
          </w:p>
        </w:tc>
      </w:tr>
      <w:tr>
        <w:trPr>
          <w:trHeight w:val="960" w:hRule="atLeast"/>
        </w:trPr>
        <w:tc>
          <w:tcPr>
            <w:tcW w:w="5595"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Petition by [name of original petitioner]</w:t>
            </w:r>
            <w:r>
              <w:br/>
            </w:r>
            <w:r>
              <w:rPr>
                <w:rFonts w:ascii="Times New Roman" w:hAnsi="Times New Roman"/>
                <w:b w:val="false"/>
                <w:i w:val="false"/>
                <w:color w:val="000000"/>
                <w:sz w:val="20"/>
              </w:rPr>
              <w:t xml:space="preserve">for a declaratory order on </w:t>
            </w:r>
            <w:r>
              <w:br/>
            </w:r>
            <w:r>
              <w:rPr>
                <w:rFonts w:ascii="Times New Roman" w:hAnsi="Times New Roman"/>
                <w:b w:val="false"/>
                <w:i w:val="false"/>
                <w:color w:val="000000"/>
                <w:sz w:val="20"/>
              </w:rPr>
              <w:t>[cite provisions of law involved].</w:t>
            </w:r>
          </w:p>
          <w:p>
            <w:pPr>
              <w:spacing w:before="0" w:after="0"/>
              <w:ind w:left="16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INTERVENTION</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intervenor is currently a party to any proceeding involving the questions at issue and whether, to the intervenor’s knowledge, those questions have been decided by, are pending determination by, or are under investigation by any agency or court of law.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2503.3(4)</w:t>
      </w:r>
      <w:r>
        <w:rPr>
          <w:rFonts w:ascii="Times New Roman" w:hAnsi="Times New Roman"/>
          <w:b w:val="false"/>
          <w:i w:val="false"/>
          <w:color w:val="000000"/>
          <w:sz w:val="22"/>
        </w:rPr>
        <w:t> </w:t>
      </w:r>
      <w:r>
        <w:rPr>
          <w:rFonts w:ascii="Times New Roman" w:hAnsi="Times New Roman"/>
          <w:b w:val="false"/>
          <w:i w:val="false"/>
          <w:color w:val="000000"/>
          <w:sz w:val="22"/>
        </w:rPr>
        <w:t>The intervenor is obligated to ensure the petition for intervention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 of intervenor or intervenor’s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and telephone number of the intervenor and intervenor’s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person (intervenor or intervenor’s representative) to whom the agency should direct communications concerning the petition for intervention.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3.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