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661—22.1</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and hazardous materials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Motor carrier safety regulations. </w:t>
      </w:r>
      <w:r>
        <w:rPr>
          <w:rFonts w:ascii="Times New Roman" w:hAnsi="Times New Roman"/>
          <w:b w:val="false"/>
          <w:i w:val="false"/>
          <w:color w:val="000000"/>
          <w:sz w:val="22"/>
        </w:rPr>
        <w:t>The department of public safety adopts the Federal Motor Carrier Safety Regulations, 49 CFR Parts 385, 386 and 390-399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materials regulations. </w:t>
      </w:r>
      <w:r>
        <w:rPr>
          <w:rFonts w:ascii="Times New Roman" w:hAnsi="Times New Roman"/>
          <w:b w:val="false"/>
          <w:i w:val="false"/>
          <w:color w:val="000000"/>
          <w:sz w:val="22"/>
        </w:rPr>
        <w:t>The department of public safety adopts the Federal Hazardous Materials Regulations, 49 CFR Parts 107, 171-173, 177, 178, and 180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Copies of regulations. </w:t>
      </w:r>
      <w:r>
        <w:rPr>
          <w:rFonts w:ascii="Times New Roman" w:hAnsi="Times New Roman"/>
          <w:b w:val="false"/>
          <w:i w:val="false"/>
          <w:color w:val="000000"/>
          <w:sz w:val="22"/>
        </w:rPr>
        <w:t xml:space="preserve">Copies of the federal regulations may be reviewed at the state law library or through the Internet at </w:t>
      </w:r>
      <w:hyperlink r:id="rId4">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Carriers subject to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commercial vehicles, as defined in Iowa Code section </w:t>
      </w:r>
      <w:hyperlink r:id="rId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subject to the Federal Motor Carrier Safety Regulations adopted in this rule unless exempted under Iowa Code section </w:t>
      </w:r>
      <w:hyperlink r:id="rId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vehicles transporting hazardous materials in commerce are subject to the Federal Hazardous Materials Regulations adopted in this rule unless exempted under Iowa Code section </w:t>
      </w:r>
      <w:hyperlink r:id="rId7">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Operators of vehicles for hire designed to transport 7 or more persons but fewer than 16, including the driver, must comply with 49 CFR Part 395 of the Federal Motor Carrier Safety Regulations. In addition, operators of vehicles for hire designed to transport 7 or more persons but fewer than 16, including the driver, are not exempt from logbook requirements afforded the 150-air-mile radius driver under 49 CFR 395.1(e). However, the provisions of 49 CFR Part 395 shall not apply to vehicles offered to the public for hire that are used principally in intracity operation and are regulated by local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Declaration of knowledge of regulations. </w:t>
      </w:r>
      <w:r>
        <w:rPr>
          <w:rFonts w:ascii="Times New Roman" w:hAnsi="Times New Roman"/>
          <w:b w:val="false"/>
          <w:i w:val="false"/>
          <w:color w:val="000000"/>
          <w:sz w:val="22"/>
        </w:rPr>
        <w:t>Operators of commercial vehicles who are subject to the regulations adopted in this rule shall at the time of application for authority to operate in Iowa or upon receipt of their Iowa registration declare knowledge of the Federal Motor Carrier Safety Regulations and Federal Hazardous Materials Regulations adopted in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0292D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fmcsa.dot.gov"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co/chapter/321.449.pdf" Type="http://schemas.openxmlformats.org/officeDocument/2006/relationships/hyperlink" Id="rId6"/>
    <Relationship TargetMode="External" Target="https://www.legis.iowa.gov/docs/ico/chapter/321.450.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s://www.legis.iowa.gov/docs/ico/chapter/321.449.pdf" Type="http://schemas.openxmlformats.org/officeDocument/2006/relationships/hyperlink" Id="rId9"/>
    <Relationship TargetMode="External" Target="https://www.legis.iowa.gov/docs/ico/chapter/321.450.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