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641—44.8</w:t>
      </w:r>
      <w:r>
        <w:rPr>
          <w:rFonts w:ascii="Times New Roman" w:hAnsi="Times New Roman"/>
          <w:b/>
          <w:i w:val="false"/>
          <w:color w:val="000000"/>
          <w:sz w:val="22"/>
        </w:rPr>
        <w:t xml:space="preserve">(136B) </w:t>
      </w:r>
      <w:r>
        <w:rPr>
          <w:rFonts w:ascii="Times New Roman" w:hAnsi="Times New Roman"/>
          <w:b/>
          <w:i w:val="false"/>
          <w:color w:val="000000"/>
          <w:sz w:val="22"/>
        </w:rPr>
        <w:t xml:space="preserve">Records and reporting requirements. </w:t>
      </w:r>
      <w:r>
        <w:rPr>
          <w:rFonts w:ascii="Times New Roman" w:hAnsi="Times New Roman"/>
          <w:b w:val="false"/>
          <w:i w:val="false"/>
          <w:color w:val="000000"/>
          <w:sz w:val="22"/>
        </w:rPr>
        <w:t>A credentialed radon mitigation specialist shall maintain records to include a report of each mitigation activity for a minimum of five years. Each report shall include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val="false"/>
          <w:color w:val="000000"/>
          <w:sz w:val="22"/>
        </w:rPr>
        <w:t>The name and phone number of the owner(s) of the building where the radon mitigation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44.8(3)</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each mitigation system, the materials installed, the diagnostic test results, and the cost of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radon measurement specialist or technician used to perform radon or radon progeny testing before and after radon mitigation of a building. This requirement does not apply if the building owner has waived the testing requirement set forth in paragraph </w:t>
      </w:r>
      <w:hyperlink r:id="rId4">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mitigation specialist maintains a copy of the signed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any premitigation or postmitigation radon or radon progeny measurements performed and the measurement methods utilized. This requirement does not apply if the building owner has waived the testing requirement set forth in paragraph </w:t>
      </w:r>
      <w:hyperlink r:id="rId5">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mitigation specialist maintains a copy of the signed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postmitigation radon measurements performed, including measurement methods utilized, and all pertinent dates. This requirement does not apply if the building owner has waived the testing requirement set forth in paragraph </w:t>
      </w:r>
      <w:hyperlink r:id="rId6">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mitigation specialist maintains a copy of the signed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44.3.pdf" Type="http://schemas.openxmlformats.org/officeDocument/2006/relationships/hyperlink" Id="rId4"/>
    <Relationship TargetMode="External" Target="https://www.legis.iowa.gov/docs/iac/rule/641.44.3.pdf" Type="http://schemas.openxmlformats.org/officeDocument/2006/relationships/hyperlink" Id="rId5"/>
    <Relationship TargetMode="External" Target="https://www.legis.iowa.gov/docs/iac/rule/641.44.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