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641—44.7</w:t>
      </w:r>
      <w:r>
        <w:rPr>
          <w:rFonts w:ascii="Times New Roman" w:hAnsi="Times New Roman"/>
          <w:b/>
          <w:i w:val="false"/>
          <w:color w:val="000000"/>
          <w:sz w:val="22"/>
        </w:rPr>
        <w:t xml:space="preserve">(136B) </w:t>
      </w:r>
      <w:r>
        <w:rPr>
          <w:rFonts w:ascii="Times New Roman" w:hAnsi="Times New Roman"/>
          <w:b/>
          <w:i w:val="false"/>
          <w:color w:val="000000"/>
          <w:sz w:val="22"/>
        </w:rPr>
        <w:t xml:space="preserve">Enforcement actions. </w:t>
      </w:r>
      <w:r>
        <w:rPr>
          <w:rFonts w:ascii="Times New Roman" w:hAnsi="Times New Roman"/>
          <w:b w:val="false"/>
          <w:i w:val="false"/>
          <w:color w:val="000000"/>
          <w:sz w:val="22"/>
        </w:rPr>
        <w:t xml:space="preserve">The department may deny, suspend, revoke, or modify the credentials of a person, place on probation, impose a civil penalty, or refer the case to the office of the county attorney for possible criminal penalties pursuant to Iowa Code chapter </w:t>
      </w:r>
      <w:hyperlink r:id="rId4">
        <w:r>
          <w:rPr>
            <w:rStyle w:val="Hyperlink"/>
            <w:rFonts w:ascii="Times New Roman" w:hAnsi="Times New Roman"/>
            <w:b w:val="false"/>
            <w:i w:val="false"/>
            <w:color w:val="000000"/>
            <w:sz w:val="22"/>
          </w:rPr>
          <w:t>136B</w:t>
        </w:r>
      </w:hyperlink>
      <w:r>
        <w:rPr>
          <w:rFonts w:ascii="Times New Roman" w:hAnsi="Times New Roman"/>
          <w:b w:val="false"/>
          <w:i w:val="false"/>
          <w:color w:val="000000"/>
          <w:sz w:val="22"/>
        </w:rPr>
        <w:t>, or any combination thereof, when it finds that a credentialed person or a person who is not credentialed has committed any of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44.7(1)</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applicable state, federal, or local statutes and regulations. This includes any action that might place a person with certification under this chapter in noncompliance with Iowa statutes and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44.7(2)</w:t>
      </w:r>
      <w:r>
        <w:rPr>
          <w:rFonts w:ascii="Times New Roman" w:hAnsi="Times New Roman"/>
          <w:b w:val="false"/>
          <w:i w:val="false"/>
          <w:color w:val="000000"/>
          <w:sz w:val="22"/>
        </w:rPr>
        <w:t> </w:t>
      </w:r>
      <w:r>
        <w:rPr>
          <w:rFonts w:ascii="Times New Roman" w:hAnsi="Times New Roman"/>
          <w:b w:val="false"/>
          <w:i w:val="false"/>
          <w:color w:val="000000"/>
          <w:sz w:val="22"/>
        </w:rPr>
        <w:t>Failure to submit required information or notifications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44.7(3)</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maintain the required records in rule </w:t>
      </w:r>
      <w:hyperlink r:id="rId5">
        <w:r>
          <w:rPr>
            <w:rStyle w:val="Hyperlink"/>
            <w:rFonts w:ascii="Times New Roman" w:hAnsi="Times New Roman"/>
            <w:b w:val="false"/>
            <w:i w:val="false"/>
            <w:color w:val="000000"/>
            <w:sz w:val="22"/>
          </w:rPr>
          <w:t>641—44.8</w:t>
        </w:r>
      </w:hyperlink>
      <w:r>
        <w:rPr>
          <w:rFonts w:ascii="Times New Roman" w:hAnsi="Times New Roman"/>
          <w:b w:val="false"/>
          <w:i w:val="false"/>
          <w:color w:val="000000"/>
          <w:sz w:val="22"/>
        </w:rPr>
        <w:t xml:space="preserve">(136B) and in the applicable ANSI/AART mitigation standard listed in paragraph </w:t>
      </w:r>
      <w:hyperlink r:id="rId6">
        <w:r>
          <w:rPr>
            <w:rStyle w:val="Hyperlink"/>
            <w:rFonts w:ascii="Times New Roman" w:hAnsi="Times New Roman"/>
            <w:b w:val="false"/>
            <w:i w:val="false"/>
            <w:color w:val="000000"/>
            <w:sz w:val="22"/>
          </w:rPr>
          <w:t>44.3(4)</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44.7(4)</w:t>
      </w:r>
      <w:r>
        <w:rPr>
          <w:rFonts w:ascii="Times New Roman" w:hAnsi="Times New Roman"/>
          <w:b w:val="false"/>
          <w:i w:val="false"/>
          <w:color w:val="000000"/>
          <w:sz w:val="22"/>
        </w:rPr>
        <w:t> </w:t>
      </w:r>
      <w:r>
        <w:rPr>
          <w:rFonts w:ascii="Times New Roman" w:hAnsi="Times New Roman"/>
          <w:b w:val="false"/>
          <w:i w:val="false"/>
          <w:color w:val="000000"/>
          <w:sz w:val="22"/>
        </w:rPr>
        <w:t>Falsifying approval records, qualifications, or other information or documentation related to licensing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44.7(5)</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the training standards and requirements in paragraph </w:t>
      </w:r>
      <w:hyperlink r:id="rId7">
        <w:r>
          <w:rPr>
            <w:rStyle w:val="Hyperlink"/>
            <w:rFonts w:ascii="Times New Roman" w:hAnsi="Times New Roman"/>
            <w:b w:val="false"/>
            <w:i w:val="false"/>
            <w:color w:val="000000"/>
            <w:sz w:val="22"/>
          </w:rPr>
          <w:t>44.3(4)</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44.7(6)</w:t>
      </w:r>
      <w:r>
        <w:rPr>
          <w:rFonts w:ascii="Times New Roman" w:hAnsi="Times New Roman"/>
          <w:b w:val="false"/>
          <w:i w:val="false"/>
          <w:color w:val="000000"/>
          <w:sz w:val="22"/>
        </w:rPr>
        <w:t> </w:t>
      </w:r>
      <w:r>
        <w:rPr>
          <w:rFonts w:ascii="Times New Roman" w:hAnsi="Times New Roman"/>
          <w:b w:val="false"/>
          <w:i w:val="false"/>
          <w:color w:val="000000"/>
          <w:sz w:val="22"/>
        </w:rPr>
        <w:t>Submitting in the application for credentialing, renewal of credentialing, or supplementary statement false or misleading statements that the department relied upon in approving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44.7(7)</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involving radon, or engaging in unethical conduct or practice harmful or detrimental to the public. Proof of actual injury need not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44.7(8)</w:t>
      </w:r>
      <w:r>
        <w:rPr>
          <w:rFonts w:ascii="Times New Roman" w:hAnsi="Times New Roman"/>
          <w:b w:val="false"/>
          <w:i w:val="false"/>
          <w:color w:val="000000"/>
          <w:sz w:val="22"/>
        </w:rPr>
        <w:t> </w:t>
      </w:r>
      <w:r>
        <w:rPr>
          <w:rFonts w:ascii="Times New Roman" w:hAnsi="Times New Roman"/>
          <w:b w:val="false"/>
          <w:i w:val="false"/>
          <w:color w:val="000000"/>
          <w:sz w:val="22"/>
        </w:rPr>
        <w:t>Using untruthful or improbable statements in advertisements. Use of these statements includes but is not limited to the presentation of information to the public by training programs that is false, deceptive, or misleading, or that is promoted through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44.7(9)</w:t>
      </w:r>
      <w:r>
        <w:rPr>
          <w:rFonts w:ascii="Times New Roman" w:hAnsi="Times New Roman"/>
          <w:b w:val="false"/>
          <w:i w:val="false"/>
          <w:color w:val="000000"/>
          <w:sz w:val="22"/>
        </w:rPr>
        <w:t> </w:t>
      </w:r>
      <w:r>
        <w:rPr>
          <w:rFonts w:ascii="Times New Roman" w:hAnsi="Times New Roman"/>
          <w:b w:val="false"/>
          <w:i w:val="false"/>
          <w:color w:val="000000"/>
          <w:sz w:val="22"/>
        </w:rPr>
        <w:t>Falsifying reports and records required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44.7(10)</w:t>
      </w:r>
      <w:r>
        <w:rPr>
          <w:rFonts w:ascii="Times New Roman" w:hAnsi="Times New Roman"/>
          <w:b w:val="false"/>
          <w:i w:val="false"/>
          <w:color w:val="000000"/>
          <w:sz w:val="22"/>
        </w:rPr>
        <w:t> </w:t>
      </w:r>
      <w:r>
        <w:rPr>
          <w:rFonts w:ascii="Times New Roman" w:hAnsi="Times New Roman"/>
          <w:b w:val="false"/>
          <w:i w:val="false"/>
          <w:color w:val="000000"/>
          <w:sz w:val="22"/>
        </w:rPr>
        <w:t>Accepting any fee by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44.7(11)</w:t>
      </w:r>
      <w:r>
        <w:rPr>
          <w:rFonts w:ascii="Times New Roman" w:hAnsi="Times New Roman"/>
          <w:b w:val="false"/>
          <w:i w:val="false"/>
          <w:color w:val="000000"/>
          <w:sz w:val="22"/>
        </w:rPr>
        <w:t> </w:t>
      </w:r>
      <w:r>
        <w:rPr>
          <w:rFonts w:ascii="Times New Roman" w:hAnsi="Times New Roman"/>
          <w:b w:val="false"/>
          <w:i w:val="false"/>
          <w:color w:val="000000"/>
          <w:sz w:val="22"/>
        </w:rPr>
        <w:t>Revocation, suspension, or other disciplinary action taken by a certification or licensing authority of this state, another state, territory, or country; or failure by the firm or individual to report such action in writing within 30 days of the final action by such certification or licensing authority. A stay by an appellate court cannot negate this requirement; however, if such disciplinary action is overturned or reversed by a court of last resort, the report shall be expunged from the records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44.7(12)</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 terms of a department order or the terms of a settlement agreement or consent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44.7(13)</w:t>
      </w:r>
      <w:r>
        <w:rPr>
          <w:rFonts w:ascii="Times New Roman" w:hAnsi="Times New Roman"/>
          <w:b w:val="false"/>
          <w:i w:val="false"/>
          <w:color w:val="000000"/>
          <w:sz w:val="22"/>
        </w:rPr>
        <w:t> </w:t>
      </w:r>
      <w:r>
        <w:rPr>
          <w:rFonts w:ascii="Times New Roman" w:hAnsi="Times New Roman"/>
          <w:b w:val="false"/>
          <w:i w:val="false"/>
          <w:color w:val="000000"/>
          <w:sz w:val="22"/>
        </w:rPr>
        <w:t>Representation by a firm or individual that the firm or individual is certified when the certification has been suspended or revoked or has not been renewed.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44.7(14)</w:t>
      </w:r>
      <w:r>
        <w:rPr>
          <w:rFonts w:ascii="Times New Roman" w:hAnsi="Times New Roman"/>
          <w:b w:val="false"/>
          <w:i w:val="false"/>
          <w:color w:val="000000"/>
          <w:sz w:val="22"/>
        </w:rPr>
        <w:t> </w:t>
      </w:r>
      <w:r>
        <w:rPr>
          <w:rFonts w:ascii="Times New Roman" w:hAnsi="Times New Roman"/>
          <w:b w:val="false"/>
          <w:i w:val="false"/>
          <w:color w:val="000000"/>
          <w:sz w:val="22"/>
        </w:rPr>
        <w:t>Failure to respond within 30 days of receipt of communication from the department that was sent by registered or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44.7(15)</w:t>
      </w:r>
      <w:r>
        <w:rPr>
          <w:rFonts w:ascii="Times New Roman" w:hAnsi="Times New Roman"/>
          <w:b w:val="false"/>
          <w:i w:val="false"/>
          <w:color w:val="000000"/>
          <w:sz w:val="22"/>
        </w:rPr>
        <w:t> </w:t>
      </w:r>
      <w:r>
        <w:rPr>
          <w:rFonts w:ascii="Times New Roman" w:hAnsi="Times New Roman"/>
          <w:b w:val="false"/>
          <w:i w:val="false"/>
          <w:color w:val="000000"/>
          <w:sz w:val="22"/>
        </w:rPr>
        <w:t>Engaging in any conduct that subverts or attempts to subvert a department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44.7(16)</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 subpoena issued by the department or failing to cooperate with a department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44.7(17)</w:t>
      </w:r>
      <w:r>
        <w:rPr>
          <w:rFonts w:ascii="Times New Roman" w:hAnsi="Times New Roman"/>
          <w:b w:val="false"/>
          <w:i w:val="false"/>
          <w:color w:val="000000"/>
          <w:sz w:val="22"/>
        </w:rPr>
        <w:t> </w:t>
      </w:r>
      <w:r>
        <w:rPr>
          <w:rFonts w:ascii="Times New Roman" w:hAnsi="Times New Roman"/>
          <w:b w:val="false"/>
          <w:i w:val="false"/>
          <w:color w:val="000000"/>
          <w:sz w:val="22"/>
        </w:rPr>
        <w:t>Failure to pay costs assessed in any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44.7(18)</w:t>
      </w:r>
      <w:r>
        <w:rPr>
          <w:rFonts w:ascii="Times New Roman" w:hAnsi="Times New Roman"/>
          <w:b w:val="false"/>
          <w:i w:val="false"/>
          <w:color w:val="000000"/>
          <w:sz w:val="22"/>
        </w:rPr>
        <w:t> </w:t>
      </w:r>
      <w:r>
        <w:rPr>
          <w:rFonts w:ascii="Times New Roman" w:hAnsi="Times New Roman"/>
          <w:b w:val="false"/>
          <w:i w:val="false"/>
          <w:color w:val="000000"/>
          <w:sz w:val="22"/>
        </w:rPr>
        <w:t>Any condition revealed by the application, supplementary statement, report, record, inspection, or other evidence, that would warrant the department’s refusal to grant credentialing on an original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44.7(19)</w:t>
      </w:r>
      <w:r>
        <w:rPr>
          <w:rFonts w:ascii="Times New Roman" w:hAnsi="Times New Roman"/>
          <w:b w:val="false"/>
          <w:i w:val="false"/>
          <w:color w:val="000000"/>
          <w:sz w:val="22"/>
        </w:rPr>
        <w:t> </w:t>
      </w:r>
      <w:r>
        <w:rPr>
          <w:rFonts w:ascii="Times New Roman" w:hAnsi="Times New Roman"/>
          <w:b w:val="false"/>
          <w:i w:val="false"/>
          <w:color w:val="000000"/>
          <w:sz w:val="22"/>
        </w:rPr>
        <w:t>Failure to complete the installation of a radon mitigation system within 30 days of the start date or date contracted to start.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44.7(20)</w:t>
      </w:r>
      <w:r>
        <w:rPr>
          <w:rFonts w:ascii="Times New Roman" w:hAnsi="Times New Roman"/>
          <w:b w:val="false"/>
          <w:i w:val="false"/>
          <w:color w:val="000000"/>
          <w:sz w:val="22"/>
        </w:rPr>
        <w:t> </w:t>
      </w:r>
      <w:r>
        <w:rPr>
          <w:rFonts w:ascii="Times New Roman" w:hAnsi="Times New Roman"/>
          <w:b w:val="false"/>
          <w:i w:val="false"/>
          <w:color w:val="000000"/>
          <w:sz w:val="22"/>
        </w:rPr>
        <w:t>Failure to correct any violation of department-approved standards or rules found during a previous inspection, or any violation found on an inspection that, as determined by the department, jeopardizes the safety of the building or other occupants.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44.7(21)</w:t>
      </w:r>
      <w:r>
        <w:rPr>
          <w:rFonts w:ascii="Times New Roman" w:hAnsi="Times New Roman"/>
          <w:b w:val="false"/>
          <w:i w:val="false"/>
          <w:color w:val="000000"/>
          <w:sz w:val="22"/>
        </w:rPr>
        <w:t> </w:t>
      </w:r>
      <w:r>
        <w:rPr>
          <w:rFonts w:ascii="Times New Roman" w:hAnsi="Times New Roman"/>
          <w:b w:val="false"/>
          <w:i w:val="false"/>
          <w:color w:val="000000"/>
          <w:sz w:val="22"/>
        </w:rPr>
        <w:t>Accepting compensation for installing ineffective radon remedies or for not dropping radon levels below 4 pCi/L in the area or level of the building where a radon mitigation system was installed.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44.7(22)</w:t>
      </w:r>
      <w:r>
        <w:rPr>
          <w:rFonts w:ascii="Times New Roman" w:hAnsi="Times New Roman"/>
          <w:b w:val="false"/>
          <w:i w:val="false"/>
          <w:color w:val="000000"/>
          <w:sz w:val="22"/>
        </w:rPr>
        <w:t> </w:t>
      </w:r>
      <w:r>
        <w:rPr>
          <w:rFonts w:ascii="Times New Roman" w:hAnsi="Times New Roman"/>
          <w:b w:val="false"/>
          <w:i w:val="false"/>
          <w:color w:val="000000"/>
          <w:sz w:val="22"/>
        </w:rPr>
        <w:t>Accepting compensation for installing active radon mitigation systems that are not acceptable to the department or that do not comply with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44.7(23)</w:t>
      </w:r>
      <w:r>
        <w:rPr>
          <w:rFonts w:ascii="Times New Roman" w:hAnsi="Times New Roman"/>
          <w:b w:val="false"/>
          <w:i w:val="false"/>
          <w:color w:val="000000"/>
          <w:sz w:val="22"/>
        </w:rPr>
        <w:t> </w:t>
      </w:r>
      <w:r>
        <w:rPr>
          <w:rFonts w:ascii="Times New Roman" w:hAnsi="Times New Roman"/>
          <w:b w:val="false"/>
          <w:i w:val="false"/>
          <w:color w:val="000000"/>
          <w:sz w:val="22"/>
        </w:rPr>
        <w:t>Failure to fully cooperate with the department or its agents when field evaluations are conducted.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44.7(24)</w:t>
      </w:r>
      <w:r>
        <w:rPr>
          <w:rFonts w:ascii="Times New Roman" w:hAnsi="Times New Roman"/>
          <w:b w:val="false"/>
          <w:i w:val="false"/>
          <w:color w:val="000000"/>
          <w:sz w:val="22"/>
        </w:rPr>
        <w:t> </w:t>
      </w:r>
      <w:r>
        <w:rPr>
          <w:rFonts w:ascii="Times New Roman" w:hAnsi="Times New Roman"/>
          <w:b w:val="false"/>
          <w:i w:val="false"/>
          <w:color w:val="000000"/>
          <w:sz w:val="22"/>
        </w:rPr>
        <w:t>Failure to attend a scheduled meeting or inspection set up by the department or its agents, when the person holding the credentials was previously notified and agreed to the time and location of the inspection.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0290D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36B.pdf" Type="http://schemas.openxmlformats.org/officeDocument/2006/relationships/hyperlink" Id="rId4"/>
    <Relationship TargetMode="External" Target="https://www.legis.iowa.gov/docs/iac/rule/641.44.8.pdf" Type="http://schemas.openxmlformats.org/officeDocument/2006/relationships/hyperlink" Id="rId5"/>
    <Relationship TargetMode="External" Target="https://www.legis.iowa.gov/docs/iac/rule/641.44.3.pdf" Type="http://schemas.openxmlformats.org/officeDocument/2006/relationships/hyperlink" Id="rId6"/>
    <Relationship TargetMode="External" Target="https://www.legis.iowa.gov/docs/iac/rule/641.44.3.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