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641—44.6</w:t>
      </w:r>
      <w:r>
        <w:rPr>
          <w:rFonts w:ascii="Times New Roman" w:hAnsi="Times New Roman"/>
          <w:b/>
          <w:i w:val="false"/>
          <w:color w:val="000000"/>
          <w:sz w:val="22"/>
        </w:rPr>
        <w:t xml:space="preserve">(136B) </w:t>
      </w:r>
      <w:r>
        <w:rPr>
          <w:rFonts w:ascii="Times New Roman" w:hAnsi="Times New Roman"/>
          <w:b/>
          <w:i w:val="false"/>
          <w:color w:val="000000"/>
          <w:sz w:val="22"/>
        </w:rPr>
        <w:t xml:space="preserve">Radon mitigation credentialing fees. </w:t>
      </w:r>
      <w:r>
        <w:rPr>
          <w:rFonts w:ascii="Times New Roman" w:hAnsi="Times New Roman"/>
          <w:b w:val="false"/>
          <w:i w:val="false"/>
          <w:color w:val="000000"/>
          <w:sz w:val="22"/>
        </w:rPr>
        <w:t>Any person wishing to become credentialed as a radon mitigation specialist shall pay nonrefundable fees in amounts sufficient to defray the cost of administering the rules of this chapter, as outlined in the fee schedule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fee. </w:t>
      </w:r>
      <w:r>
        <w:rPr>
          <w:rFonts w:ascii="Times New Roman" w:hAnsi="Times New Roman"/>
          <w:b w:val="false"/>
          <w:i w:val="false"/>
          <w:color w:val="000000"/>
          <w:sz w:val="22"/>
        </w:rPr>
        <w:t>Each person applying for initial credentialing under the provisions of this chapter shall pay a nonrefundable $25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Annual credentialing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credentialing must pay a nonrefundable initial fee of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annual renewal must pay an annual fee of $150 or a surcharge fee of $40 per mitigation system installed for systems costing more than $200, whichever amount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fee calculation purposes, one mitigation system installation is considered to be the installation of an interconnected system that contains one or more fans installed on a single riser, one or more suction points, and one or more exhausts. For systems with single or multiple fans installed on separate risers and installed in separate locations, each riser constitutes a separate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person elects not to renew a credential the subsequent year, all outstanding surcharge fees shall be paid in full within 30 days following the credential’s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Returned check and reinstatement fees. </w:t>
      </w:r>
      <w:r>
        <w:rPr>
          <w:rFonts w:ascii="Times New Roman" w:hAnsi="Times New Roman"/>
          <w:b w:val="false"/>
          <w:i w:val="false"/>
          <w:color w:val="000000"/>
          <w:sz w:val="22"/>
        </w:rPr>
        <w:t>Persons who fail to pay required fees to the department are subject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fee for each payment received by the department in accordance with these rules, for which insufficient funds are available to fulfill the obligation of such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$100 reinstatement fee when a certification has not been renewed within 30 days following the expiration date. This fee is added to the unpaid annual credentialing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