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641—44.5</w:t>
      </w:r>
      <w:r>
        <w:rPr>
          <w:rFonts w:ascii="Times New Roman" w:hAnsi="Times New Roman"/>
          <w:b/>
          <w:i w:val="false"/>
          <w:color w:val="000000"/>
          <w:sz w:val="22"/>
        </w:rPr>
        <w:t xml:space="preserve">(136B) </w:t>
      </w:r>
      <w:r>
        <w:rPr>
          <w:rFonts w:ascii="Times New Roman" w:hAnsi="Times New Roman"/>
          <w:b/>
          <w:i w:val="false"/>
          <w:color w:val="000000"/>
          <w:sz w:val="22"/>
        </w:rPr>
        <w:t xml:space="preserve">Renewal application of annual credentialing.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Credential renewal. </w:t>
      </w:r>
      <w:r>
        <w:rPr>
          <w:rFonts w:ascii="Times New Roman" w:hAnsi="Times New Roman"/>
          <w:b w:val="false"/>
          <w:i w:val="false"/>
          <w:color w:val="000000"/>
          <w:sz w:val="22"/>
        </w:rPr>
        <w:t>A person applying for a renewal of an annual credential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application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number of mitigation systems installed for the renewal period by providing all of the following at or before time of renewal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Building owner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Building owner 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address of installation location, including street address, city, state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Installation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Employer at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copies of CE completion certificates to the department biennially, based on the date of initial credentialing.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specified in rule </w:t>
      </w:r>
      <w:hyperlink r:id="rId4">
        <w:r>
          <w:rPr>
            <w:rStyle w:val="Hyperlink"/>
            <w:rFonts w:ascii="Times New Roman" w:hAnsi="Times New Roman"/>
            <w:b w:val="false"/>
            <w:i w:val="false"/>
            <w:color w:val="000000"/>
            <w:sz w:val="22"/>
          </w:rPr>
          <w:t>641—44.6</w:t>
        </w:r>
      </w:hyperlink>
      <w:r>
        <w:rPr>
          <w:rFonts w:ascii="Times New Roman" w:hAnsi="Times New Roman"/>
          <w:b w:val="false"/>
          <w:i w:val="false"/>
          <w:color w:val="000000"/>
          <w:sz w:val="22"/>
        </w:rPr>
        <w:t>(136B).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an expired credential. </w:t>
      </w:r>
      <w:r>
        <w:rPr>
          <w:rFonts w:ascii="Times New Roman" w:hAnsi="Times New Roman"/>
          <w:b w:val="false"/>
          <w:i w:val="false"/>
          <w:color w:val="000000"/>
          <w:sz w:val="22"/>
        </w:rPr>
        <w:t xml:space="preserve">Reinstatement applications shall be submitted through the online licensing portal when a registration has not been renewed within 30 days following the expiration date. Any person wishing to reinstate an expired radon measurement certification must complete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required application and CE documentation that was due at time of expiration. If it has been more than two years since expiration, eight hours of CE must be completed with four of those hours being an approved mitigation standards review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applicable credentialing and reinstatement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44.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