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641—44.4</w:t>
      </w:r>
      <w:r>
        <w:rPr>
          <w:rFonts w:ascii="Times New Roman" w:hAnsi="Times New Roman"/>
          <w:b/>
          <w:i w:val="false"/>
          <w:color w:val="000000"/>
          <w:sz w:val="22"/>
        </w:rPr>
        <w:t xml:space="preserve">(136B) </w:t>
      </w:r>
      <w:r>
        <w:rPr>
          <w:rFonts w:ascii="Times New Roman" w:hAnsi="Times New Roman"/>
          <w:b/>
          <w:i w:val="false"/>
          <w:color w:val="000000"/>
          <w:sz w:val="22"/>
        </w:rPr>
        <w:t xml:space="preserve">Application for credentialing.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val="false"/>
          <w:color w:val="000000"/>
          <w:sz w:val="22"/>
        </w:rPr>
        <w:t>An application for credentialing or renewal of credentials as a radon mitigation specialist shall be completed through the online licensing portal and shall contain complete and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val="false"/>
          <w:color w:val="000000"/>
          <w:sz w:val="22"/>
        </w:rPr>
        <w:t>The applicant must report any changes to the initial or renewal certification application within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val="false"/>
          <w:color w:val="000000"/>
          <w:sz w:val="22"/>
        </w:rPr>
        <w:t>Application as a radon mitigation specialist. A person applying for a radon mitigation specialist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completion of initial radon measurement and mitigation courses as outlined in subrule </w:t>
      </w:r>
      <w:hyperlink r:id="rId4">
        <w:r>
          <w:rPr>
            <w:rStyle w:val="Hyperlink"/>
            <w:rFonts w:ascii="Times New Roman" w:hAnsi="Times New Roman"/>
            <w:b w:val="false"/>
            <w:i w:val="false"/>
            <w:color w:val="000000"/>
            <w:sz w:val="22"/>
          </w:rPr>
          <w:t>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either course was completed more than two years prior to the date of the application, documentation that the person has completed an average of at least four hours of approved continuing education (CE) training per year since completing the course. The certificate of completion must indicate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receiving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course and course ID assigned by either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primary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Official documentation of the test scores obtained on the NRPP, NRSB, or other department-approved radon mitigation examination taken within two years prior to application, showing a minimum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Proof of three years of relevant work experience. One or more of the following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resume providing proof of three years of relevant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of a detailed resume and college transcript providing proof of at least one year of relevant work experience and up to two years of relevant postsecondary education as outlined in paragraph </w:t>
      </w:r>
      <w:hyperlink r:id="rId5">
        <w:r>
          <w:rPr>
            <w:rStyle w:val="Hyperlink"/>
            <w:rFonts w:ascii="Times New Roman" w:hAnsi="Times New Roman"/>
            <w:b w:val="false"/>
            <w:i w:val="false"/>
            <w:color w:val="000000"/>
            <w:sz w:val="22"/>
          </w:rPr>
          <w:t>44.3(2)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Disclosure of any past disciplinary actions, if applicable, and include a list of any disciplinary actions taken against the applicant’s license, credential, certification, registration in any profession in Iowa or another state or jurisdiction, and a copy of the disciplinary action(s), including any charges and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acceptable mitigation worker protection plan. The plan shall include the elements outlined in Section 11 of the applicable standard for the building type being mitigated, as referenced in paragraph </w:t>
      </w:r>
      <w:hyperlink r:id="rId6">
        <w:r>
          <w:rPr>
            <w:rStyle w:val="Hyperlink"/>
            <w:rFonts w:ascii="Times New Roman" w:hAnsi="Times New Roman"/>
            <w:b w:val="false"/>
            <w:i w:val="false"/>
            <w:color w:val="000000"/>
            <w:sz w:val="22"/>
          </w:rPr>
          <w:t>44.3(3)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worker protection plan shall apply to all mitigation installation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acceptable quality assurance plan (QAP). The plan shall apply to all mitigation installation activities and includes but is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all diagnostic tests performed to determine the mitigation strategy, names of the individuals performing each diagnostic test, and any other related services offered.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Ensuring all instruments are properly calibrated according to the manufacturer’s recommendations.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all mitigation materials and systems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example of the operation, maintenance and monitoring (OM&amp;M) information package that will be provided to the building owner for the mitigation system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the OM&amp;M information package shall include the elements outlined in section 10.1 of the applicable standard for the building type being mitigated, as referenced in paragraph </w:t>
      </w:r>
      <w:hyperlink r:id="rId7">
        <w:r>
          <w:rPr>
            <w:rStyle w:val="Hyperlink"/>
            <w:rFonts w:ascii="Times New Roman" w:hAnsi="Times New Roman"/>
            <w:b w:val="false"/>
            <w:i w:val="false"/>
            <w:color w:val="000000"/>
            <w:sz w:val="22"/>
          </w:rPr>
          <w:t>44.3(3)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OM&amp;M information package must include the phone number for the Iowa radon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mitigation waiver as outlined in paragraph </w:t>
      </w:r>
      <w:hyperlink r:id="rId8">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rule </w:t>
      </w:r>
      <w:hyperlink r:id="rId9">
        <w:r>
          <w:rPr>
            <w:rStyle w:val="Hyperlink"/>
            <w:rFonts w:ascii="Times New Roman" w:hAnsi="Times New Roman"/>
            <w:b w:val="false"/>
            <w:i w:val="false"/>
            <w:color w:val="000000"/>
            <w:sz w:val="22"/>
          </w:rPr>
          <w:t>641—44.6</w:t>
        </w:r>
      </w:hyperlink>
      <w:r>
        <w:rPr>
          <w:rFonts w:ascii="Times New Roman" w:hAnsi="Times New Roman"/>
          <w:b w:val="false"/>
          <w:i w:val="false"/>
          <w:color w:val="000000"/>
          <w:sz w:val="22"/>
        </w:rPr>
        <w:t>(136B).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val="false"/>
          <w:color w:val="000000"/>
          <w:sz w:val="22"/>
        </w:rPr>
        <w:t>Supplementary statements. The department may require the applicant to submit supplementary statements containing additional information to enable the department to determine whether an application should be approved, denied, or whether a previously issued credential should be amended, suspended, or revoked. Each application or supplementary statement shall be submitted by either the applicant personally, or a person authorized in writing by the applicant to do so on the applicant’s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44.4(5)</w:t>
      </w:r>
      <w:r>
        <w:rPr>
          <w:rFonts w:ascii="Times New Roman" w:hAnsi="Times New Roman"/>
          <w:b w:val="false"/>
          <w:i w:val="false"/>
          <w:color w:val="000000"/>
          <w:sz w:val="22"/>
        </w:rPr>
        <w:t> </w:t>
      </w:r>
      <w:r>
        <w:rPr>
          <w:rFonts w:ascii="Times New Roman" w:hAnsi="Times New Roman"/>
          <w:b w:val="false"/>
          <w:i w:val="false"/>
          <w:color w:val="000000"/>
          <w:sz w:val="22"/>
        </w:rPr>
        <w:t>Expiration of notice of credential. Credentials will expire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Radon mitigation activities subject to this chapter cannot be initiated after the expiration of the credential unless a renewal application has been submitted to the department, is determined to be complete, and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radon mitigation activities initiated prior to the expiration of the credential must be completed within 30 days of the expiration date if renewal is not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rejected, the applicant cannot conduct radon mitigation activities in the state of Iowa for compensation or under any financial arrangement.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44.3.pdf" Type="http://schemas.openxmlformats.org/officeDocument/2006/relationships/hyperlink" Id="rId4"/>
    <Relationship TargetMode="External" Target="https://www.legis.iowa.gov/docs/iac/rule/641.44.3.pdf" Type="http://schemas.openxmlformats.org/officeDocument/2006/relationships/hyperlink" Id="rId5"/>
    <Relationship TargetMode="External" Target="https://www.legis.iowa.gov/docs/iac/rule/641.44.3.pdf" Type="http://schemas.openxmlformats.org/officeDocument/2006/relationships/hyperlink" Id="rId6"/>
    <Relationship TargetMode="External" Target="https://www.legis.iowa.gov/docs/iac/rule/641.44.3.pdf" Type="http://schemas.openxmlformats.org/officeDocument/2006/relationships/hyperlink" Id="rId7"/>
    <Relationship TargetMode="External" Target="https://www.legis.iowa.gov/docs/iac/rule/641.44.3.pdf" Type="http://schemas.openxmlformats.org/officeDocument/2006/relationships/hyperlink" Id="rId8"/>
    <Relationship TargetMode="External" Target="https://www.legis.iowa.gov/docs/iac/rule/641.44.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