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641—43.7</w:t>
      </w:r>
      <w:r>
        <w:rPr>
          <w:rFonts w:ascii="Times New Roman" w:hAnsi="Times New Roman"/>
          <w:b/>
          <w:i w:val="false"/>
          <w:color w:val="000000"/>
          <w:sz w:val="22"/>
        </w:rPr>
        <w:t xml:space="preserve">(136B) </w:t>
      </w:r>
      <w:r>
        <w:rPr>
          <w:rFonts w:ascii="Times New Roman" w:hAnsi="Times New Roman"/>
          <w:b/>
          <w:i w:val="false"/>
          <w:color w:val="000000"/>
          <w:sz w:val="22"/>
        </w:rPr>
        <w:t xml:space="preserve">Records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43.7(1)</w:t>
      </w:r>
      <w:r>
        <w:rPr>
          <w:rFonts w:ascii="Times New Roman" w:hAnsi="Times New Roman"/>
          <w:b w:val="false"/>
          <w:i w:val="false"/>
          <w:color w:val="000000"/>
          <w:sz w:val="22"/>
        </w:rPr>
        <w:t> </w:t>
      </w:r>
      <w:r>
        <w:rPr>
          <w:rFonts w:ascii="Times New Roman" w:hAnsi="Times New Roman"/>
          <w:b w:val="false"/>
          <w:i w:val="false"/>
          <w:color w:val="000000"/>
          <w:sz w:val="22"/>
        </w:rPr>
        <w:t>A certified person must submit to the department within 30 days after any radon or radon progeny testing, or at the request of the department prior to testing,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owner(s) of the building where the radon testing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any tests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43.7(2)</w:t>
      </w:r>
      <w:r>
        <w:rPr>
          <w:rFonts w:ascii="Times New Roman" w:hAnsi="Times New Roman"/>
          <w:b w:val="false"/>
          <w:i w:val="false"/>
          <w:color w:val="000000"/>
          <w:sz w:val="22"/>
        </w:rPr>
        <w:t> </w:t>
      </w:r>
      <w:r>
        <w:rPr>
          <w:rFonts w:ascii="Times New Roman" w:hAnsi="Times New Roman"/>
          <w:b w:val="false"/>
          <w:i w:val="false"/>
          <w:color w:val="000000"/>
          <w:sz w:val="22"/>
        </w:rPr>
        <w:t>The results for each test conducted shall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 used for radon or radon decay product testing, media tested, and conditions under which the testing was or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level or floor of building where the test(s) was or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the test(s) in picocuries/liter (pCi/l) of radon gas or WL of radon decay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test(s) was or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purpose of the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43.7(3)</w:t>
      </w:r>
      <w:r>
        <w:rPr>
          <w:rFonts w:ascii="Times New Roman" w:hAnsi="Times New Roman"/>
          <w:b w:val="false"/>
          <w:i w:val="false"/>
          <w:color w:val="000000"/>
          <w:sz w:val="22"/>
        </w:rPr>
        <w:t> </w:t>
      </w:r>
      <w:r>
        <w:rPr>
          <w:rFonts w:ascii="Times New Roman" w:hAnsi="Times New Roman"/>
          <w:b w:val="false"/>
          <w:i w:val="false"/>
          <w:color w:val="000000"/>
          <w:sz w:val="22"/>
        </w:rPr>
        <w:t>Requirements of certification. A certified 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when conducting field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14 days of any changes in testing results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disclose to any other person, other than the department, the results of a test, the address, or the name of the owner of a nonpublic building that the person tested for the presence of radon gas or radon progeny, unless any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of the building waives, in writing, this right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certified or credentialed pursuant to Iowa Code section </w:t>
      </w:r>
      <w:hyperlink r:id="rId4">
        <w:r>
          <w:rPr>
            <w:rStyle w:val="Hyperlink"/>
            <w:rFonts w:ascii="Times New Roman" w:hAnsi="Times New Roman"/>
            <w:b w:val="false"/>
            <w:i w:val="false"/>
            <w:color w:val="000000"/>
            <w:sz w:val="22"/>
          </w:rPr>
          <w:t>136B.1</w:t>
        </w:r>
      </w:hyperlink>
      <w:r>
        <w:rPr>
          <w:rFonts w:ascii="Times New Roman" w:hAnsi="Times New Roman"/>
          <w:b w:val="false"/>
          <w:i w:val="false"/>
          <w:color w:val="000000"/>
          <w:sz w:val="22"/>
        </w:rPr>
        <w:t xml:space="preserve"> may disclose the results of a test performed by the person for the presence of radon or radon progeny to a potential buyer of a nonpublic building when an offer to purchase has been presented by the buyer and if the potential buyer paid for the testing. Any test results disclosed shall be results of a test performed within the five years prior to the date of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43.7(4)</w:t>
      </w:r>
      <w:r>
        <w:rPr>
          <w:rFonts w:ascii="Times New Roman" w:hAnsi="Times New Roman"/>
          <w:b w:val="false"/>
          <w:i w:val="false"/>
          <w:color w:val="000000"/>
          <w:sz w:val="22"/>
        </w:rPr>
        <w:t> </w:t>
      </w:r>
      <w:r>
        <w:rPr>
          <w:rFonts w:ascii="Times New Roman" w:hAnsi="Times New Roman"/>
          <w:b w:val="false"/>
          <w:i w:val="false"/>
          <w:color w:val="000000"/>
          <w:sz w:val="22"/>
        </w:rPr>
        <w:t>Record retention. Records of radon or radon progeny testing must be maintained for a minimum of five years after the radon test is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6B.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