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641—43.1</w:t>
      </w:r>
      <w:r>
        <w:rPr>
          <w:rFonts w:ascii="Times New Roman" w:hAnsi="Times New Roman"/>
          <w:b/>
          <w:i w:val="false"/>
          <w:color w:val="000000"/>
          <w:sz w:val="22"/>
        </w:rPr>
        <w:t xml:space="preserve">(136B)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This chapter establishes requirements for the certification of radon measurement specialists and radon measurement laboratories. All persons performing measurements for radon or radon progeny in buildings, other than those that they own, and who provide the results of these measurements to the owner or occupant of these structures, must be certified in accordance with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