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641—38.15</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formal education for X-ray equipment operators in bone densitometry.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38.15(1)</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 have at least two years of current experience in radiography and bone densitometry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instructor shall have at least two years of current experience in radiography and bone densitometry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Iowa-permitted limited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X-ray equipment operator in bone densitometry;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be supervised by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 also act as clinical instructor,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 classroom and clinical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eight hours of classroom instruction to include radiation safety, equipment operation, quality control, patient care, and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instruction to include positioning and a minimum of ten projections excluding the competency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competency projections to include five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competency testing to be directly supervised by the principal or clinical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Clinical instructors to directly supervise all students before a student’s competency for the specific projection is documented and indirectly supervise after the student’s competency for the specific projection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38.15(2)</w:t>
      </w:r>
      <w:r>
        <w:rPr>
          <w:rFonts w:ascii="Times New Roman" w:hAnsi="Times New Roman"/>
          <w:b w:val="false"/>
          <w:i w:val="false"/>
          <w:color w:val="000000"/>
          <w:sz w:val="22"/>
        </w:rPr>
        <w:t> </w:t>
      </w:r>
      <w:r>
        <w:rPr>
          <w:rFonts w:ascii="Times New Roman" w:hAnsi="Times New Roman"/>
          <w:b w:val="false"/>
          <w:i w:val="false"/>
          <w:color w:val="000000"/>
          <w:sz w:val="22"/>
        </w:rPr>
        <w:t>Department approval is required before implementing any formal education or making any changes to a formal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38.15(3)</w:t>
      </w:r>
      <w:r>
        <w:rPr>
          <w:rFonts w:ascii="Times New Roman" w:hAnsi="Times New Roman"/>
          <w:b w:val="false"/>
          <w:i w:val="false"/>
          <w:color w:val="000000"/>
          <w:sz w:val="22"/>
        </w:rPr>
        <w:t> </w:t>
      </w:r>
      <w:r>
        <w:rPr>
          <w:rFonts w:ascii="Times New Roman" w:hAnsi="Times New Roman"/>
          <w:b w:val="false"/>
          <w:i w:val="false"/>
          <w:color w:val="000000"/>
          <w:sz w:val="22"/>
        </w:rPr>
        <w:t>Administrative items for all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audit or evaluate any aspect of the formal education or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request further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38.15(4)</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$150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permit is expired six months or more, all previous exemptions from this chapter are no longer valid and the individual is subject to all requirements of subrule </w:t>
      </w:r>
      <w:hyperlink r:id="rId4">
        <w:r>
          <w:rPr>
            <w:rStyle w:val="Hyperlink"/>
            <w:rFonts w:ascii="Times New Roman" w:hAnsi="Times New Roman"/>
            <w:b w:val="false"/>
            <w:i w:val="false"/>
            <w:color w:val="000000"/>
            <w:sz w:val="22"/>
          </w:rPr>
          <w:t>38.5(1)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50.0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38.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