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571—90.4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(456A)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Infested waters.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90.4(1)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Designation of infested waters.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department will designate infested waters of the state and publish the names of infested waters in the fishing regulations brochure and on the department webpage,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www.iowadnr.gov/programs-services/aquatic-invasive-species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and will provide notice through other available means where practical. At any time, the department may designate additional waters or remove from designation those waters that are no longer infested.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90.4(2)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Restricted activities on infested waters.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may restrict boating, fishing, swimming, and trapping in infested waters of the state. When determining when to restrict activities in infested waters, the department will consider: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extent of a species’ distribution within the state;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likely means of spread for a new species;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Whether restrictions specific to infested waters containing a specific species will effectively reduce that species’ spread.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0278D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://www.iowadnr.gov/programs-services/aquatic-invasive-species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