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571—90.3</w:t>
      </w:r>
      <w:r>
        <w:rPr>
          <w:rFonts w:ascii="Times New Roman" w:hAnsi="Times New Roman"/>
          <w:b/>
          <w:i w:val="false"/>
          <w:color w:val="000000"/>
          <w:sz w:val="22"/>
        </w:rPr>
        <w:t xml:space="preserve">(456A) </w:t>
      </w:r>
      <w:r>
        <w:rPr>
          <w:rFonts w:ascii="Times New Roman" w:hAnsi="Times New Roman"/>
          <w:b/>
          <w:i w:val="false"/>
          <w:color w:val="000000"/>
          <w:sz w:val="22"/>
        </w:rPr>
        <w:t xml:space="preserve">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90.3(1)</w:t>
      </w:r>
      <w:r>
        <w:rPr>
          <w:rFonts w:ascii="Times New Roman" w:hAnsi="Times New Roman"/>
          <w:b w:val="false"/>
          <w:i w:val="false"/>
          <w:color w:val="000000"/>
          <w:sz w:val="22"/>
        </w:rPr>
        <w:t> </w:t>
      </w:r>
      <w:r>
        <w:rPr>
          <w:rFonts w:ascii="Times New Roman" w:hAnsi="Times New Roman"/>
          <w:b w:val="false"/>
          <w:i w:val="false"/>
          <w:color w:val="000000"/>
          <w:sz w:val="22"/>
        </w:rPr>
        <w:t>A person shall not possess, introduce, import, purchase, sell, barter, propagate, or transport aquatic invasive species in any form in this state,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By written permission of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disposal as part of a harvest or control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species is being transported to the department, or to another destination as directed by the department, in a sealed container for purposes of identifying the species or reporting the presence of the species;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specimen has been lawfully acquired dead and, in the case of plant species, when all seeds are removed or are otherwise secured in a sealed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the form of herbaria or other preserved specimens;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a species is being removed from watercraft and equipment or when a species is caught by an angler and immediately returned to the water from which it came;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an individual angler possesses a species that has been caught and immediately killed.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90.3(2)</w:t>
      </w:r>
      <w:r>
        <w:rPr>
          <w:rFonts w:ascii="Times New Roman" w:hAnsi="Times New Roman"/>
          <w:b w:val="false"/>
          <w:i w:val="false"/>
          <w:color w:val="000000"/>
          <w:sz w:val="22"/>
        </w:rPr>
        <w:t> </w:t>
      </w:r>
      <w:r>
        <w:rPr>
          <w:rFonts w:ascii="Times New Roman" w:hAnsi="Times New Roman"/>
          <w:b w:val="false"/>
          <w:i w:val="false"/>
          <w:color w:val="000000"/>
          <w:sz w:val="22"/>
        </w:rPr>
        <w:t>A conservation officer, other licensed peace officer, or employee of the department may seize or dispose of all specimens of aquatic invasive species unlawfully possessed, introduced, imported, purchased, sold, bartered, propagated, or transported in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